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3800C0" w14:textId="77777777" w:rsidR="0088223F" w:rsidRPr="005F6314" w:rsidRDefault="0088223F" w:rsidP="0062319C">
      <w:pPr>
        <w:spacing w:before="0" w:after="0"/>
        <w:jc w:val="center"/>
        <w:rPr>
          <w:b/>
          <w:bCs/>
          <w:color w:val="000000" w:themeColor="text1"/>
        </w:rPr>
      </w:pPr>
      <w:r w:rsidRPr="005F6314">
        <w:rPr>
          <w:b/>
          <w:bCs/>
          <w:color w:val="000000" w:themeColor="text1"/>
        </w:rPr>
        <w:t>KARADENİZ TEKNİK ÜNİVERSİTESİ</w:t>
      </w:r>
    </w:p>
    <w:p w14:paraId="3F81ADD3" w14:textId="77777777" w:rsidR="0088223F" w:rsidRPr="005F6314" w:rsidRDefault="0088223F" w:rsidP="0062319C">
      <w:pPr>
        <w:spacing w:before="0" w:after="0"/>
        <w:jc w:val="center"/>
        <w:rPr>
          <w:b/>
          <w:bCs/>
          <w:color w:val="000000" w:themeColor="text1"/>
        </w:rPr>
      </w:pPr>
      <w:r w:rsidRPr="005F6314">
        <w:rPr>
          <w:b/>
          <w:bCs/>
          <w:color w:val="000000" w:themeColor="text1"/>
        </w:rPr>
        <w:t>İKTİSADİ VE İDARİ BİLİMLER FAKÜLTESİ</w:t>
      </w:r>
    </w:p>
    <w:p w14:paraId="6CF65CF4" w14:textId="77777777" w:rsidR="0062319C" w:rsidRPr="005F6314" w:rsidRDefault="0088223F" w:rsidP="0062319C">
      <w:pPr>
        <w:spacing w:before="0" w:after="0"/>
        <w:jc w:val="center"/>
        <w:rPr>
          <w:b/>
          <w:bCs/>
          <w:color w:val="000000" w:themeColor="text1"/>
        </w:rPr>
      </w:pPr>
      <w:r w:rsidRPr="005F6314">
        <w:rPr>
          <w:b/>
          <w:bCs/>
          <w:color w:val="000000" w:themeColor="text1"/>
        </w:rPr>
        <w:t>ÇALIŞMA EKONOMİSİ VE ENDÜSTRİ İLİŞKİLERİ BÖLÜMÜ</w:t>
      </w:r>
    </w:p>
    <w:p w14:paraId="4258ECA9" w14:textId="77777777" w:rsidR="0088223F" w:rsidRPr="005F6314" w:rsidRDefault="0088223F" w:rsidP="0062319C">
      <w:pPr>
        <w:spacing w:before="0" w:after="0"/>
        <w:jc w:val="center"/>
        <w:rPr>
          <w:b/>
          <w:bCs/>
          <w:color w:val="000000" w:themeColor="text1"/>
        </w:rPr>
      </w:pPr>
      <w:r w:rsidRPr="005F6314">
        <w:rPr>
          <w:b/>
          <w:bCs/>
          <w:color w:val="000000" w:themeColor="text1"/>
        </w:rPr>
        <w:t>VERİ TOPLAMA VE DEĞERLENDİRME KOMİSYONU</w:t>
      </w:r>
    </w:p>
    <w:p w14:paraId="687BD826" w14:textId="77777777" w:rsidR="0088223F" w:rsidRPr="005F6314" w:rsidRDefault="0088223F" w:rsidP="0062319C">
      <w:pPr>
        <w:jc w:val="center"/>
        <w:rPr>
          <w:color w:val="000000" w:themeColor="text1"/>
        </w:rPr>
      </w:pPr>
    </w:p>
    <w:p w14:paraId="722011F4" w14:textId="77777777" w:rsidR="0088223F" w:rsidRDefault="0088223F" w:rsidP="0088223F">
      <w:pPr>
        <w:rPr>
          <w:color w:val="000000" w:themeColor="text1"/>
        </w:rPr>
      </w:pPr>
    </w:p>
    <w:p w14:paraId="3C12E064" w14:textId="77777777" w:rsidR="005758B1" w:rsidRDefault="005758B1" w:rsidP="0088223F">
      <w:pPr>
        <w:rPr>
          <w:color w:val="000000" w:themeColor="text1"/>
        </w:rPr>
      </w:pPr>
    </w:p>
    <w:p w14:paraId="51F797CE" w14:textId="77777777" w:rsidR="005758B1" w:rsidRDefault="005758B1" w:rsidP="0088223F">
      <w:pPr>
        <w:rPr>
          <w:color w:val="000000" w:themeColor="text1"/>
        </w:rPr>
      </w:pPr>
    </w:p>
    <w:p w14:paraId="4863EC8F" w14:textId="77777777" w:rsidR="005758B1" w:rsidRPr="005F6314" w:rsidRDefault="005758B1" w:rsidP="0088223F">
      <w:pPr>
        <w:rPr>
          <w:color w:val="000000" w:themeColor="text1"/>
        </w:rPr>
      </w:pPr>
    </w:p>
    <w:p w14:paraId="535DA9E9" w14:textId="77777777" w:rsidR="0088223F" w:rsidRPr="005F6314" w:rsidRDefault="0088223F" w:rsidP="0088223F">
      <w:pPr>
        <w:jc w:val="center"/>
        <w:rPr>
          <w:b/>
          <w:bCs/>
          <w:color w:val="000000" w:themeColor="text1"/>
        </w:rPr>
      </w:pPr>
    </w:p>
    <w:p w14:paraId="4B4C3B9E" w14:textId="77777777" w:rsidR="0088223F" w:rsidRPr="005F6314" w:rsidRDefault="0088223F" w:rsidP="0088223F">
      <w:pPr>
        <w:jc w:val="center"/>
        <w:rPr>
          <w:b/>
          <w:bCs/>
          <w:color w:val="000000" w:themeColor="text1"/>
        </w:rPr>
      </w:pPr>
    </w:p>
    <w:p w14:paraId="73A38616" w14:textId="77777777" w:rsidR="000A3DAF" w:rsidRPr="000A3DAF" w:rsidRDefault="000A3DAF" w:rsidP="000A3DAF">
      <w:pPr>
        <w:jc w:val="center"/>
        <w:rPr>
          <w:b/>
          <w:bCs/>
          <w:color w:val="000000" w:themeColor="text1"/>
        </w:rPr>
      </w:pPr>
      <w:r w:rsidRPr="000A3DAF">
        <w:rPr>
          <w:b/>
          <w:bCs/>
          <w:color w:val="000000" w:themeColor="text1"/>
        </w:rPr>
        <w:t>2025-2026 EĞİTİM-ÖĞRETİM YILI BAHAR DÖNEMİ</w:t>
      </w:r>
    </w:p>
    <w:p w14:paraId="4D55C4C6" w14:textId="635BEECE" w:rsidR="0088223F" w:rsidRPr="005F6314" w:rsidRDefault="000A3DAF" w:rsidP="000A3DAF">
      <w:pPr>
        <w:jc w:val="center"/>
        <w:rPr>
          <w:b/>
          <w:bCs/>
          <w:color w:val="000000" w:themeColor="text1"/>
        </w:rPr>
      </w:pPr>
      <w:r w:rsidRPr="000A3DAF">
        <w:rPr>
          <w:b/>
          <w:bCs/>
          <w:color w:val="000000" w:themeColor="text1"/>
        </w:rPr>
        <w:t>ERASMUS KATILIM ANKETİ DEĞERLENDİRME RAPORU</w:t>
      </w:r>
    </w:p>
    <w:p w14:paraId="6E6ABC17" w14:textId="77777777" w:rsidR="0088223F" w:rsidRPr="005F6314" w:rsidRDefault="0088223F" w:rsidP="0088223F">
      <w:pPr>
        <w:jc w:val="center"/>
        <w:rPr>
          <w:b/>
          <w:bCs/>
          <w:color w:val="000000" w:themeColor="text1"/>
        </w:rPr>
      </w:pPr>
    </w:p>
    <w:p w14:paraId="0FBEA83C" w14:textId="77777777" w:rsidR="0088223F" w:rsidRPr="005F6314" w:rsidRDefault="0088223F" w:rsidP="0088223F">
      <w:pPr>
        <w:jc w:val="center"/>
        <w:rPr>
          <w:b/>
          <w:bCs/>
          <w:color w:val="000000" w:themeColor="text1"/>
        </w:rPr>
      </w:pPr>
    </w:p>
    <w:p w14:paraId="2048AC3D" w14:textId="77777777" w:rsidR="0088223F" w:rsidRPr="005F6314" w:rsidRDefault="0088223F" w:rsidP="0088223F">
      <w:pPr>
        <w:jc w:val="center"/>
        <w:rPr>
          <w:b/>
          <w:bCs/>
          <w:color w:val="000000" w:themeColor="text1"/>
        </w:rPr>
      </w:pPr>
    </w:p>
    <w:p w14:paraId="47FB6ABA" w14:textId="77777777" w:rsidR="005758B1" w:rsidRDefault="005758B1" w:rsidP="0088223F">
      <w:pPr>
        <w:jc w:val="center"/>
        <w:rPr>
          <w:b/>
          <w:bCs/>
          <w:color w:val="000000" w:themeColor="text1"/>
        </w:rPr>
      </w:pPr>
    </w:p>
    <w:p w14:paraId="3C425A1A" w14:textId="77777777" w:rsidR="005758B1" w:rsidRDefault="005758B1" w:rsidP="0088223F">
      <w:pPr>
        <w:jc w:val="center"/>
        <w:rPr>
          <w:b/>
          <w:bCs/>
          <w:color w:val="000000" w:themeColor="text1"/>
        </w:rPr>
      </w:pPr>
    </w:p>
    <w:p w14:paraId="5D8800E8" w14:textId="77777777" w:rsidR="005758B1" w:rsidRDefault="005758B1" w:rsidP="0088223F">
      <w:pPr>
        <w:jc w:val="center"/>
        <w:rPr>
          <w:b/>
          <w:bCs/>
          <w:color w:val="000000" w:themeColor="text1"/>
        </w:rPr>
      </w:pPr>
    </w:p>
    <w:p w14:paraId="68A78E3F" w14:textId="77777777" w:rsidR="005758B1" w:rsidRPr="005F6314" w:rsidRDefault="005758B1" w:rsidP="0088223F">
      <w:pPr>
        <w:jc w:val="center"/>
        <w:rPr>
          <w:b/>
          <w:bCs/>
          <w:color w:val="000000" w:themeColor="text1"/>
        </w:rPr>
      </w:pPr>
    </w:p>
    <w:p w14:paraId="0514B9DD" w14:textId="77777777" w:rsidR="0088223F" w:rsidRPr="005F6314" w:rsidRDefault="0088223F" w:rsidP="0088223F">
      <w:pPr>
        <w:jc w:val="center"/>
        <w:rPr>
          <w:b/>
          <w:bCs/>
          <w:color w:val="000000" w:themeColor="text1"/>
        </w:rPr>
      </w:pPr>
    </w:p>
    <w:p w14:paraId="072B06B1" w14:textId="77777777" w:rsidR="0088223F" w:rsidRPr="005F6314" w:rsidRDefault="0062319C" w:rsidP="0088223F">
      <w:pPr>
        <w:jc w:val="center"/>
        <w:rPr>
          <w:b/>
          <w:bCs/>
          <w:color w:val="000000" w:themeColor="text1"/>
        </w:rPr>
      </w:pPr>
      <w:r w:rsidRPr="005F6314">
        <w:rPr>
          <w:b/>
          <w:bCs/>
          <w:color w:val="000000" w:themeColor="text1"/>
        </w:rPr>
        <w:t xml:space="preserve">Hazırlayanlar </w:t>
      </w:r>
    </w:p>
    <w:p w14:paraId="18AC58A5" w14:textId="77777777" w:rsidR="0088223F" w:rsidRPr="005F6314" w:rsidRDefault="0088223F" w:rsidP="0088223F">
      <w:pPr>
        <w:jc w:val="center"/>
        <w:rPr>
          <w:b/>
          <w:bCs/>
          <w:color w:val="000000" w:themeColor="text1"/>
        </w:rPr>
      </w:pPr>
      <w:r w:rsidRPr="005F6314">
        <w:rPr>
          <w:b/>
          <w:bCs/>
          <w:color w:val="000000" w:themeColor="text1"/>
        </w:rPr>
        <w:t>Dr. Öğr. Üyesi Yusuf Erdem TUNÇ</w:t>
      </w:r>
    </w:p>
    <w:p w14:paraId="30AD62C2" w14:textId="63221FB5" w:rsidR="005758B1" w:rsidRDefault="0088223F" w:rsidP="0088223F">
      <w:pPr>
        <w:jc w:val="center"/>
        <w:rPr>
          <w:b/>
          <w:bCs/>
          <w:color w:val="000000" w:themeColor="text1"/>
        </w:rPr>
      </w:pPr>
      <w:r w:rsidRPr="005F6314">
        <w:rPr>
          <w:b/>
          <w:bCs/>
          <w:color w:val="000000" w:themeColor="text1"/>
        </w:rPr>
        <w:t xml:space="preserve">Arş. Gör. </w:t>
      </w:r>
      <w:r w:rsidR="000A3DAF">
        <w:rPr>
          <w:b/>
          <w:bCs/>
          <w:color w:val="000000" w:themeColor="text1"/>
        </w:rPr>
        <w:t xml:space="preserve">Dr. </w:t>
      </w:r>
      <w:r w:rsidRPr="005F6314">
        <w:rPr>
          <w:b/>
          <w:bCs/>
          <w:color w:val="000000" w:themeColor="text1"/>
        </w:rPr>
        <w:t>Ayşıl KABAKÇI</w:t>
      </w:r>
      <w:r w:rsidR="005758B1">
        <w:rPr>
          <w:b/>
          <w:bCs/>
          <w:color w:val="000000" w:themeColor="text1"/>
        </w:rPr>
        <w:br/>
      </w:r>
      <w:r w:rsidR="005758B1">
        <w:rPr>
          <w:b/>
          <w:bCs/>
          <w:color w:val="000000" w:themeColor="text1"/>
        </w:rPr>
        <w:br/>
      </w:r>
    </w:p>
    <w:p w14:paraId="26D16917" w14:textId="212D505C" w:rsidR="0088223F" w:rsidRPr="005F6314" w:rsidRDefault="005758B1" w:rsidP="0088223F">
      <w:pPr>
        <w:jc w:val="center"/>
        <w:rPr>
          <w:b/>
          <w:bCs/>
          <w:color w:val="000000" w:themeColor="text1"/>
        </w:rPr>
      </w:pPr>
      <w:r>
        <w:rPr>
          <w:b/>
          <w:bCs/>
          <w:color w:val="000000" w:themeColor="text1"/>
        </w:rPr>
        <w:t xml:space="preserve">Trabzon, </w:t>
      </w:r>
      <w:r w:rsidR="000A3DAF">
        <w:rPr>
          <w:b/>
          <w:bCs/>
          <w:color w:val="000000" w:themeColor="text1"/>
        </w:rPr>
        <w:t>Mart</w:t>
      </w:r>
      <w:r>
        <w:rPr>
          <w:b/>
          <w:bCs/>
          <w:color w:val="000000" w:themeColor="text1"/>
        </w:rPr>
        <w:t xml:space="preserve"> 202</w:t>
      </w:r>
      <w:r w:rsidR="000A3DAF">
        <w:rPr>
          <w:b/>
          <w:bCs/>
          <w:color w:val="000000" w:themeColor="text1"/>
        </w:rPr>
        <w:t>6</w:t>
      </w:r>
    </w:p>
    <w:p w14:paraId="456C7187" w14:textId="77777777" w:rsidR="0088223F" w:rsidRPr="005F6314" w:rsidRDefault="0088223F" w:rsidP="00C3394E">
      <w:pPr>
        <w:pStyle w:val="Balk1"/>
        <w:rPr>
          <w:rFonts w:eastAsia="Calibri"/>
          <w:color w:val="000000" w:themeColor="text1"/>
        </w:rPr>
      </w:pPr>
    </w:p>
    <w:p w14:paraId="08C09AFD" w14:textId="77777777" w:rsidR="004522F3" w:rsidRDefault="004522F3" w:rsidP="00C3394E">
      <w:pPr>
        <w:pStyle w:val="Balk1"/>
        <w:numPr>
          <w:ilvl w:val="0"/>
          <w:numId w:val="7"/>
        </w:numPr>
        <w:rPr>
          <w:color w:val="000000" w:themeColor="text1"/>
        </w:rPr>
        <w:sectPr w:rsidR="004522F3" w:rsidSect="003178E0">
          <w:headerReference w:type="even" r:id="rId8"/>
          <w:headerReference w:type="default" r:id="rId9"/>
          <w:footerReference w:type="even" r:id="rId10"/>
          <w:footerReference w:type="default" r:id="rId11"/>
          <w:headerReference w:type="first" r:id="rId12"/>
          <w:footerReference w:type="first" r:id="rId13"/>
          <w:pgSz w:w="11906" w:h="16838" w:code="9"/>
          <w:pgMar w:top="1134" w:right="1134" w:bottom="1134" w:left="1134" w:header="851" w:footer="851" w:gutter="0"/>
          <w:pgNumType w:start="1"/>
          <w:cols w:space="708"/>
          <w:titlePg/>
          <w:docGrid w:linePitch="360"/>
        </w:sectPr>
      </w:pPr>
      <w:bookmarkStart w:id="0" w:name="_Toc169044615"/>
    </w:p>
    <w:p w14:paraId="40BF6122" w14:textId="77777777" w:rsidR="0088223F" w:rsidRPr="005F6314" w:rsidRDefault="00860175" w:rsidP="00C3394E">
      <w:pPr>
        <w:pStyle w:val="Balk1"/>
        <w:numPr>
          <w:ilvl w:val="0"/>
          <w:numId w:val="7"/>
        </w:numPr>
        <w:rPr>
          <w:color w:val="000000" w:themeColor="text1"/>
        </w:rPr>
      </w:pPr>
      <w:r w:rsidRPr="005F6314">
        <w:rPr>
          <w:color w:val="000000" w:themeColor="text1"/>
        </w:rPr>
        <w:lastRenderedPageBreak/>
        <w:t>Giriş</w:t>
      </w:r>
      <w:bookmarkEnd w:id="0"/>
    </w:p>
    <w:p w14:paraId="12744019" w14:textId="77777777" w:rsidR="000A3DAF" w:rsidRPr="000A3DAF" w:rsidRDefault="000A3DAF" w:rsidP="000A3DAF">
      <w:r w:rsidRPr="000A3DAF">
        <w:t>Bu rapor, Karadeniz Teknik Üniversitesi İktisadi ve İdari Bilimler Fakültesi Çalışma Ekonomisi ve Endüstri İlişkileri Bölümü öğrencilerinin Erasmus değişim programına yönelik tutumlarını, başvuru eğilimlerini ve katılım önündeki engelleri değerlendirmek amacıyla gerçekleştirilen "Erasmus Katılım Anketi" sonuçlarını kapsamaktadır. 2025-2026 eğitim-öğretim yılı bahar döneminde uygulanan ankette, öğrencilerin Erasmus programına başvuru düşünceleri, katılmama nedenleri, bu kararın niteliği ve üniversiteden beklentileri gibi çeşitli boyutlar ele alınmıştır.</w:t>
      </w:r>
    </w:p>
    <w:p w14:paraId="6A877B36" w14:textId="10CBC871" w:rsidR="00BF7857" w:rsidRPr="005F6314" w:rsidRDefault="000A3DAF" w:rsidP="000A3DAF">
      <w:r w:rsidRPr="000A3DAF">
        <w:t>Anket verileri hem nicel hem de nitel analizle değerlendirilmiştir. Yapılandırılmış sorulara verilen yanıtlar istatistiksel yöntemlerle analiz edilirken, açık uçlu soruya verilen yanıtlar içerik analiziyle incelenmiştir. Raporda, elde edilen bulguların detaylı analizi sunulmakta; öğrencilerin Erasmus programına katılımının önündeki yapısal ve bireysel engeller belirlenmekte ve bu engellerin aşılmasına yönelik öneriler ortaya konulmaktadır</w:t>
      </w:r>
      <w:r w:rsidR="00BF7857" w:rsidRPr="00BF7857">
        <w:t>.</w:t>
      </w:r>
    </w:p>
    <w:p w14:paraId="6648D0CF" w14:textId="77777777" w:rsidR="0088223F" w:rsidRPr="005F6314" w:rsidRDefault="00860175" w:rsidP="00C3394E">
      <w:pPr>
        <w:pStyle w:val="Balk1"/>
        <w:numPr>
          <w:ilvl w:val="0"/>
          <w:numId w:val="7"/>
        </w:numPr>
        <w:rPr>
          <w:color w:val="000000" w:themeColor="text1"/>
        </w:rPr>
      </w:pPr>
      <w:bookmarkStart w:id="1" w:name="_Toc169044616"/>
      <w:r w:rsidRPr="005F6314">
        <w:rPr>
          <w:color w:val="000000" w:themeColor="text1"/>
        </w:rPr>
        <w:t>Yöntem</w:t>
      </w:r>
      <w:bookmarkEnd w:id="1"/>
    </w:p>
    <w:p w14:paraId="45114E8A" w14:textId="77777777" w:rsidR="000A3DAF" w:rsidRPr="000A3DAF" w:rsidRDefault="000A3DAF" w:rsidP="000A3DAF">
      <w:r w:rsidRPr="000A3DAF">
        <w:t>Çalışmada, bölüm öğrencilerinin Erasmus değişim programına ilişkin tutum ve deneyimlerini toplamak amacıyla nicel bir araştırma tasarımı kullanılmıştır. Anket, Google Forms aracılığıyla çevrim içi olarak uygulanmış ve 6-17 Mart 2026 tarihleri arasında 85 öğrenciden yanıt toplanmıştır.</w:t>
      </w:r>
    </w:p>
    <w:p w14:paraId="43FEE504" w14:textId="77777777" w:rsidR="000A3DAF" w:rsidRPr="000A3DAF" w:rsidRDefault="000A3DAF" w:rsidP="000A3DAF">
      <w:r w:rsidRPr="000A3DAF">
        <w:t>Anket formu, biri açık uçlu olmak üzere toplam 5 sorudan oluşmaktadır. Sorular; demografik bilgi (sınıf düzeyi), Erasmus'a başvuru düşüncesi, katılmama nedenleri (en fazla 3 seçenek işaretlenebilen çoklu seçim), katılmama kararının niteliği ve üniversiteden beklentiler olmak üzere çeşitli boyutları kapsamaktadır.</w:t>
      </w:r>
    </w:p>
    <w:p w14:paraId="4F229F3B" w14:textId="56C94243" w:rsidR="006F2A7F" w:rsidRDefault="000A3DAF" w:rsidP="000A3DAF">
      <w:r w:rsidRPr="000A3DAF">
        <w:t>Veri analizi Python (Pandas, Matplotlib) kullanılarak gerçekleştirilmiştir. Analiz; frekans dağılımları, çapraz tablolar ve betimleyici istatistiklerin hesaplanmasını içermektedir. Açık uçlu yanıtlar ise içerik analizi yöntemiyle değerlendirilmiştir</w:t>
      </w:r>
      <w:r w:rsidR="00CB04A4" w:rsidRPr="00CB04A4">
        <w:t>.</w:t>
      </w:r>
    </w:p>
    <w:p w14:paraId="40738EC5" w14:textId="0199B89C" w:rsidR="00EB0CCE" w:rsidRPr="0003559D" w:rsidRDefault="00C3394E" w:rsidP="0003559D">
      <w:pPr>
        <w:pStyle w:val="Balk1"/>
        <w:ind w:left="0" w:firstLine="0"/>
        <w:rPr>
          <w:color w:val="000000" w:themeColor="text1"/>
        </w:rPr>
      </w:pPr>
      <w:bookmarkStart w:id="2" w:name="_Toc169044617"/>
      <w:r w:rsidRPr="005F6314">
        <w:rPr>
          <w:color w:val="000000" w:themeColor="text1"/>
        </w:rPr>
        <w:t xml:space="preserve">3. </w:t>
      </w:r>
      <w:r w:rsidR="00EB0CCE">
        <w:rPr>
          <w:color w:val="000000" w:themeColor="text1"/>
        </w:rPr>
        <w:t>Demografik Bilgiler</w:t>
      </w:r>
    </w:p>
    <w:p w14:paraId="2C38E06D" w14:textId="6C34185A" w:rsidR="00EB0CCE" w:rsidRPr="0003559D" w:rsidRDefault="000A3DAF" w:rsidP="00EB0CCE">
      <w:pPr>
        <w:rPr>
          <w:b/>
          <w:bCs/>
        </w:rPr>
      </w:pPr>
      <w:r>
        <w:rPr>
          <w:b/>
          <w:bCs/>
        </w:rPr>
        <w:t>Sınıf</w:t>
      </w:r>
      <w:r w:rsidR="00EB0CCE" w:rsidRPr="0003559D">
        <w:rPr>
          <w:b/>
          <w:bCs/>
        </w:rPr>
        <w:t xml:space="preserve"> Dağılımı</w:t>
      </w:r>
    </w:p>
    <w:p w14:paraId="1F4F3226" w14:textId="5E3D5B10" w:rsidR="00EB0CCE" w:rsidRDefault="000A3DAF" w:rsidP="00EB0CCE">
      <w:pPr>
        <w:jc w:val="center"/>
      </w:pPr>
      <w:r w:rsidRPr="000A3DAF">
        <w:t>Ankete katılan 85 öğrencinin sınıf düzeylerine göre dağılımı aşağıda gösterilmiştir</w:t>
      </w:r>
      <w:r>
        <w:t>:</w:t>
      </w:r>
      <w:r w:rsidRPr="000A3DAF">
        <w:t xml:space="preserve"> </w:t>
      </w:r>
    </w:p>
    <w:p w14:paraId="10798371" w14:textId="5BE3DF17" w:rsidR="004522F3" w:rsidRDefault="00EB0CCE" w:rsidP="00EB0CCE">
      <w:r>
        <w:t>Bu dağılım, ankete katılanların yarısından fazlasının son 5 yıl içinde mezun olduğunu göstermektedir. Bu durum, güncel eğitim programımız hakkında daha fazla geri bildirim almamızı sağlarken, uzun vadeli kariyer gelişimi hakkında bilgi edinmemizi sınırlayabilir.</w:t>
      </w:r>
    </w:p>
    <w:p w14:paraId="62C12A33" w14:textId="6C6144A0" w:rsidR="000A3DAF" w:rsidRDefault="000A3DAF" w:rsidP="00EB0CCE">
      <w:r>
        <w:rPr>
          <w:noProof/>
        </w:rPr>
        <w:lastRenderedPageBreak/>
        <w:drawing>
          <wp:inline distT="0" distB="0" distL="0" distR="0" wp14:anchorId="6A92985F" wp14:editId="14EC643C">
            <wp:extent cx="3810000" cy="2762250"/>
            <wp:effectExtent l="0" t="0" r="0" b="0"/>
            <wp:docPr id="1" name="Sınıf Dağılımı" descr="Sınıf Dağılımı" title="Sınıf Dağılım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3810000" cy="2762250"/>
                    </a:xfrm>
                    <a:prstGeom prst="rect">
                      <a:avLst/>
                    </a:prstGeom>
                  </pic:spPr>
                </pic:pic>
              </a:graphicData>
            </a:graphic>
          </wp:inline>
        </w:drawing>
      </w:r>
    </w:p>
    <w:p w14:paraId="48EA28BF" w14:textId="0FBF6E1E" w:rsidR="000A3DAF" w:rsidRDefault="000A3DAF" w:rsidP="00EB0CCE">
      <w:r w:rsidRPr="000A3DAF">
        <w:t>Katılımcıların %38,8'i 2. sınıf, %27,1'i 4. sınıf, %21,2'si 1. sınıf ve %12,9'u 3. sınıf öğrencilerinden oluşmaktadır. Bu dağılım, anket sonuçlarının tüm sınıf düzeylerini kapsadığını göstermekle birlikte, 3. sınıf öğrencilerinin katılım oranının nispeten düşük kaldığı dikkat çekmektedir.</w:t>
      </w:r>
    </w:p>
    <w:bookmarkEnd w:id="2"/>
    <w:p w14:paraId="0EE4F2D1" w14:textId="4A3C0027" w:rsidR="0088223F" w:rsidRDefault="000A3DAF" w:rsidP="000A3DAF">
      <w:pPr>
        <w:pStyle w:val="Balk1"/>
        <w:numPr>
          <w:ilvl w:val="0"/>
          <w:numId w:val="8"/>
        </w:numPr>
        <w:rPr>
          <w:color w:val="000000" w:themeColor="text1"/>
        </w:rPr>
      </w:pPr>
      <w:r>
        <w:rPr>
          <w:color w:val="000000" w:themeColor="text1"/>
        </w:rPr>
        <w:t>Anket Sorularının Ayrıntılı Değerlendirilmesi</w:t>
      </w:r>
    </w:p>
    <w:p w14:paraId="3CAA1A6A" w14:textId="365B0803" w:rsidR="000A3DAF" w:rsidRPr="000A3DAF" w:rsidRDefault="000A3DAF" w:rsidP="000A3DAF">
      <w:pPr>
        <w:ind w:left="708" w:firstLine="0"/>
        <w:rPr>
          <w:b/>
          <w:bCs/>
        </w:rPr>
      </w:pPr>
      <w:r w:rsidRPr="000A3DAF">
        <w:rPr>
          <w:b/>
          <w:bCs/>
        </w:rPr>
        <w:t>Erasmus’a Başvuru Düşüncesi</w:t>
      </w:r>
    </w:p>
    <w:p w14:paraId="19B9E2CA" w14:textId="33E7CCAE" w:rsidR="006F2A7F" w:rsidRDefault="000A3DAF" w:rsidP="00E3292C">
      <w:bookmarkStart w:id="3" w:name="_Toc169044618"/>
      <w:r w:rsidRPr="000A3DAF">
        <w:t>Öğrencilere Erasmus programına başvurmayı düşünüp düşünmedikleri sorulmuş ve yanıtların dağılımı aşağıdaki şekilde gerçekleşmiştir:</w:t>
      </w:r>
    </w:p>
    <w:p w14:paraId="54D3F6B7" w14:textId="068CA961" w:rsidR="000A3DAF" w:rsidRDefault="000A3DAF" w:rsidP="00E3292C">
      <w:r>
        <w:rPr>
          <w:noProof/>
        </w:rPr>
        <w:drawing>
          <wp:inline distT="0" distB="0" distL="0" distR="0" wp14:anchorId="5D4AB08C" wp14:editId="4DB74D64">
            <wp:extent cx="4476750" cy="3245642"/>
            <wp:effectExtent l="0" t="0" r="0" b="0"/>
            <wp:docPr id="854226049" name="Başvuru Düşüncesi" descr="Başvuru Düşüncesi" title="Başvuru Düşünces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
                    <a:srcRect/>
                    <a:stretch>
                      <a:fillRect/>
                    </a:stretch>
                  </pic:blipFill>
                  <pic:spPr bwMode="auto">
                    <a:xfrm>
                      <a:off x="0" y="0"/>
                      <a:ext cx="4538199" cy="3290192"/>
                    </a:xfrm>
                    <a:prstGeom prst="rect">
                      <a:avLst/>
                    </a:prstGeom>
                  </pic:spPr>
                </pic:pic>
              </a:graphicData>
            </a:graphic>
          </wp:inline>
        </w:drawing>
      </w:r>
    </w:p>
    <w:p w14:paraId="16580816" w14:textId="77777777" w:rsidR="0084674E" w:rsidRDefault="0084674E" w:rsidP="000A3DAF">
      <w:pPr>
        <w:spacing w:before="200" w:after="100"/>
        <w:jc w:val="center"/>
        <w:rPr>
          <w:rFonts w:ascii="Arial" w:eastAsia="Arial" w:hAnsi="Arial" w:cs="Arial"/>
          <w:b/>
          <w:bCs/>
          <w:color w:val="333333"/>
          <w:sz w:val="20"/>
          <w:szCs w:val="20"/>
        </w:rPr>
      </w:pPr>
      <w:r>
        <w:rPr>
          <w:rFonts w:ascii="Arial" w:eastAsia="Arial" w:hAnsi="Arial" w:cs="Arial"/>
          <w:b/>
          <w:bCs/>
          <w:color w:val="333333"/>
          <w:sz w:val="20"/>
          <w:szCs w:val="20"/>
        </w:rPr>
        <w:br w:type="page"/>
      </w:r>
    </w:p>
    <w:p w14:paraId="6967AECE" w14:textId="4EAB2284" w:rsidR="000A3DAF" w:rsidRDefault="000A3DAF" w:rsidP="000A3DAF">
      <w:pPr>
        <w:spacing w:before="200" w:after="100"/>
        <w:jc w:val="center"/>
      </w:pPr>
      <w:r>
        <w:rPr>
          <w:rFonts w:ascii="Arial" w:eastAsia="Arial" w:hAnsi="Arial" w:cs="Arial"/>
          <w:b/>
          <w:bCs/>
          <w:color w:val="333333"/>
          <w:sz w:val="20"/>
          <w:szCs w:val="20"/>
        </w:rPr>
        <w:lastRenderedPageBreak/>
        <w:t>Tablo 1: Erasmus'a Başvuru Düşüncesinin Dağılımı</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43"/>
        <w:gridCol w:w="1400"/>
        <w:gridCol w:w="1583"/>
      </w:tblGrid>
      <w:tr w:rsidR="000A3DAF" w14:paraId="1B40579A" w14:textId="77777777" w:rsidTr="000A3DAF">
        <w:tc>
          <w:tcPr>
            <w:tcW w:w="6043" w:type="dxa"/>
            <w:tcBorders>
              <w:top w:val="single" w:sz="1" w:space="0" w:color="999999"/>
              <w:left w:val="single" w:sz="1" w:space="0" w:color="999999"/>
              <w:bottom w:val="single" w:sz="1" w:space="0" w:color="999999"/>
              <w:right w:val="single" w:sz="1" w:space="0" w:color="999999"/>
            </w:tcBorders>
            <w:shd w:val="clear" w:color="auto" w:fill="2E75B6"/>
            <w:tcMar>
              <w:top w:w="60" w:type="dxa"/>
              <w:left w:w="100" w:type="dxa"/>
              <w:bottom w:w="60" w:type="dxa"/>
              <w:right w:w="100" w:type="dxa"/>
            </w:tcMar>
            <w:vAlign w:val="center"/>
          </w:tcPr>
          <w:p w14:paraId="49AA0A40" w14:textId="77777777" w:rsidR="000A3DAF" w:rsidRDefault="000A3DAF" w:rsidP="001924E3">
            <w:pPr>
              <w:jc w:val="center"/>
            </w:pPr>
            <w:r>
              <w:rPr>
                <w:rFonts w:ascii="Arial" w:eastAsia="Arial" w:hAnsi="Arial" w:cs="Arial"/>
                <w:b/>
                <w:bCs/>
                <w:color w:val="FFFFFF"/>
                <w:sz w:val="20"/>
                <w:szCs w:val="20"/>
              </w:rPr>
              <w:t>Başvuru Düşüncesi</w:t>
            </w:r>
          </w:p>
        </w:tc>
        <w:tc>
          <w:tcPr>
            <w:tcW w:w="1400" w:type="dxa"/>
            <w:tcBorders>
              <w:top w:val="single" w:sz="1" w:space="0" w:color="999999"/>
              <w:left w:val="single" w:sz="1" w:space="0" w:color="999999"/>
              <w:bottom w:val="single" w:sz="1" w:space="0" w:color="999999"/>
              <w:right w:val="single" w:sz="1" w:space="0" w:color="999999"/>
            </w:tcBorders>
            <w:shd w:val="clear" w:color="auto" w:fill="2E75B6"/>
            <w:tcMar>
              <w:top w:w="60" w:type="dxa"/>
              <w:left w:w="100" w:type="dxa"/>
              <w:bottom w:w="60" w:type="dxa"/>
              <w:right w:w="100" w:type="dxa"/>
            </w:tcMar>
            <w:vAlign w:val="center"/>
          </w:tcPr>
          <w:p w14:paraId="1B5804EE" w14:textId="77777777" w:rsidR="000A3DAF" w:rsidRDefault="000A3DAF" w:rsidP="001924E3">
            <w:pPr>
              <w:jc w:val="center"/>
            </w:pPr>
            <w:r>
              <w:rPr>
                <w:rFonts w:ascii="Arial" w:eastAsia="Arial" w:hAnsi="Arial" w:cs="Arial"/>
                <w:b/>
                <w:bCs/>
                <w:color w:val="FFFFFF"/>
                <w:sz w:val="20"/>
                <w:szCs w:val="20"/>
              </w:rPr>
              <w:t>n</w:t>
            </w:r>
          </w:p>
        </w:tc>
        <w:tc>
          <w:tcPr>
            <w:tcW w:w="1583" w:type="dxa"/>
            <w:tcBorders>
              <w:top w:val="single" w:sz="1" w:space="0" w:color="999999"/>
              <w:left w:val="single" w:sz="1" w:space="0" w:color="999999"/>
              <w:bottom w:val="single" w:sz="1" w:space="0" w:color="999999"/>
              <w:right w:val="single" w:sz="1" w:space="0" w:color="999999"/>
            </w:tcBorders>
            <w:shd w:val="clear" w:color="auto" w:fill="2E75B6"/>
            <w:tcMar>
              <w:top w:w="60" w:type="dxa"/>
              <w:left w:w="100" w:type="dxa"/>
              <w:bottom w:w="60" w:type="dxa"/>
              <w:right w:w="100" w:type="dxa"/>
            </w:tcMar>
            <w:vAlign w:val="center"/>
          </w:tcPr>
          <w:p w14:paraId="1AC1E379" w14:textId="77777777" w:rsidR="000A3DAF" w:rsidRDefault="000A3DAF" w:rsidP="001924E3">
            <w:pPr>
              <w:jc w:val="center"/>
            </w:pPr>
            <w:r>
              <w:rPr>
                <w:rFonts w:ascii="Arial" w:eastAsia="Arial" w:hAnsi="Arial" w:cs="Arial"/>
                <w:b/>
                <w:bCs/>
                <w:color w:val="FFFFFF"/>
                <w:sz w:val="20"/>
                <w:szCs w:val="20"/>
              </w:rPr>
              <w:t>%</w:t>
            </w:r>
          </w:p>
        </w:tc>
      </w:tr>
      <w:tr w:rsidR="000A3DAF" w14:paraId="4790B84D" w14:textId="77777777" w:rsidTr="000A3DAF">
        <w:tc>
          <w:tcPr>
            <w:tcW w:w="6043"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0E6D5CBB" w14:textId="77777777" w:rsidR="000A3DAF" w:rsidRDefault="000A3DAF" w:rsidP="001924E3">
            <w:pPr>
              <w:spacing w:before="40" w:after="40"/>
            </w:pPr>
            <w:r>
              <w:rPr>
                <w:rFonts w:ascii="Arial" w:eastAsia="Arial" w:hAnsi="Arial" w:cs="Arial"/>
                <w:sz w:val="20"/>
                <w:szCs w:val="20"/>
              </w:rPr>
              <w:t>Düşündüm ama vazgeçtim</w:t>
            </w:r>
          </w:p>
        </w:tc>
        <w:tc>
          <w:tcPr>
            <w:tcW w:w="1400"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148B24BD" w14:textId="77777777" w:rsidR="000A3DAF" w:rsidRDefault="000A3DAF" w:rsidP="001924E3">
            <w:pPr>
              <w:spacing w:before="40" w:after="40"/>
              <w:jc w:val="center"/>
            </w:pPr>
            <w:r>
              <w:rPr>
                <w:rFonts w:ascii="Arial" w:eastAsia="Arial" w:hAnsi="Arial" w:cs="Arial"/>
                <w:sz w:val="20"/>
                <w:szCs w:val="20"/>
              </w:rPr>
              <w:t>32</w:t>
            </w:r>
          </w:p>
        </w:tc>
        <w:tc>
          <w:tcPr>
            <w:tcW w:w="1583"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390D1FFB" w14:textId="77777777" w:rsidR="000A3DAF" w:rsidRDefault="000A3DAF" w:rsidP="001924E3">
            <w:pPr>
              <w:spacing w:before="40" w:after="40"/>
              <w:jc w:val="center"/>
            </w:pPr>
            <w:r>
              <w:rPr>
                <w:rFonts w:ascii="Arial" w:eastAsia="Arial" w:hAnsi="Arial" w:cs="Arial"/>
                <w:sz w:val="20"/>
                <w:szCs w:val="20"/>
              </w:rPr>
              <w:t>37.6</w:t>
            </w:r>
          </w:p>
        </w:tc>
      </w:tr>
      <w:tr w:rsidR="000A3DAF" w14:paraId="03A13E1D" w14:textId="77777777" w:rsidTr="000A3DAF">
        <w:tc>
          <w:tcPr>
            <w:tcW w:w="6043"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15FB2CD4" w14:textId="77777777" w:rsidR="000A3DAF" w:rsidRDefault="000A3DAF" w:rsidP="001924E3">
            <w:pPr>
              <w:spacing w:before="40" w:after="40"/>
            </w:pPr>
            <w:r>
              <w:rPr>
                <w:rFonts w:ascii="Arial" w:eastAsia="Arial" w:hAnsi="Arial" w:cs="Arial"/>
                <w:sz w:val="20"/>
                <w:szCs w:val="20"/>
              </w:rPr>
              <w:t>Düşünüyorum</w:t>
            </w:r>
          </w:p>
        </w:tc>
        <w:tc>
          <w:tcPr>
            <w:tcW w:w="1400"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5FF38619" w14:textId="77777777" w:rsidR="000A3DAF" w:rsidRDefault="000A3DAF" w:rsidP="001924E3">
            <w:pPr>
              <w:spacing w:before="40" w:after="40"/>
              <w:jc w:val="center"/>
            </w:pPr>
            <w:r>
              <w:rPr>
                <w:rFonts w:ascii="Arial" w:eastAsia="Arial" w:hAnsi="Arial" w:cs="Arial"/>
                <w:sz w:val="20"/>
                <w:szCs w:val="20"/>
              </w:rPr>
              <w:t>29</w:t>
            </w:r>
          </w:p>
        </w:tc>
        <w:tc>
          <w:tcPr>
            <w:tcW w:w="1583"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1C6C590E" w14:textId="77777777" w:rsidR="000A3DAF" w:rsidRDefault="000A3DAF" w:rsidP="001924E3">
            <w:pPr>
              <w:spacing w:before="40" w:after="40"/>
              <w:jc w:val="center"/>
            </w:pPr>
            <w:r>
              <w:rPr>
                <w:rFonts w:ascii="Arial" w:eastAsia="Arial" w:hAnsi="Arial" w:cs="Arial"/>
                <w:sz w:val="20"/>
                <w:szCs w:val="20"/>
              </w:rPr>
              <w:t>34.1</w:t>
            </w:r>
          </w:p>
        </w:tc>
      </w:tr>
      <w:tr w:rsidR="000A3DAF" w14:paraId="42C22CD9" w14:textId="77777777" w:rsidTr="000A3DAF">
        <w:tc>
          <w:tcPr>
            <w:tcW w:w="6043"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5BD891B6" w14:textId="77777777" w:rsidR="000A3DAF" w:rsidRDefault="000A3DAF" w:rsidP="001924E3">
            <w:pPr>
              <w:spacing w:before="40" w:after="40"/>
            </w:pPr>
            <w:r>
              <w:rPr>
                <w:rFonts w:ascii="Arial" w:eastAsia="Arial" w:hAnsi="Arial" w:cs="Arial"/>
                <w:sz w:val="20"/>
                <w:szCs w:val="20"/>
              </w:rPr>
              <w:t>Hiç düşünmedim</w:t>
            </w:r>
          </w:p>
        </w:tc>
        <w:tc>
          <w:tcPr>
            <w:tcW w:w="1400"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1E5ACF48" w14:textId="77777777" w:rsidR="000A3DAF" w:rsidRDefault="000A3DAF" w:rsidP="001924E3">
            <w:pPr>
              <w:spacing w:before="40" w:after="40"/>
              <w:jc w:val="center"/>
            </w:pPr>
            <w:r>
              <w:rPr>
                <w:rFonts w:ascii="Arial" w:eastAsia="Arial" w:hAnsi="Arial" w:cs="Arial"/>
                <w:sz w:val="20"/>
                <w:szCs w:val="20"/>
              </w:rPr>
              <w:t>19</w:t>
            </w:r>
          </w:p>
        </w:tc>
        <w:tc>
          <w:tcPr>
            <w:tcW w:w="1583"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1CCEC0AB" w14:textId="77777777" w:rsidR="000A3DAF" w:rsidRDefault="000A3DAF" w:rsidP="001924E3">
            <w:pPr>
              <w:spacing w:before="40" w:after="40"/>
              <w:jc w:val="center"/>
            </w:pPr>
            <w:r>
              <w:rPr>
                <w:rFonts w:ascii="Arial" w:eastAsia="Arial" w:hAnsi="Arial" w:cs="Arial"/>
                <w:sz w:val="20"/>
                <w:szCs w:val="20"/>
              </w:rPr>
              <w:t>22.4</w:t>
            </w:r>
          </w:p>
        </w:tc>
      </w:tr>
      <w:tr w:rsidR="000A3DAF" w14:paraId="080460F7" w14:textId="77777777" w:rsidTr="000A3DAF">
        <w:tc>
          <w:tcPr>
            <w:tcW w:w="6043"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2E3F5AAC" w14:textId="77777777" w:rsidR="000A3DAF" w:rsidRDefault="000A3DAF" w:rsidP="001924E3">
            <w:pPr>
              <w:spacing w:before="40" w:after="40"/>
            </w:pPr>
            <w:r>
              <w:rPr>
                <w:rFonts w:ascii="Arial" w:eastAsia="Arial" w:hAnsi="Arial" w:cs="Arial"/>
                <w:sz w:val="20"/>
                <w:szCs w:val="20"/>
              </w:rPr>
              <w:t>Başvuracağım / başvurdum</w:t>
            </w:r>
          </w:p>
        </w:tc>
        <w:tc>
          <w:tcPr>
            <w:tcW w:w="1400"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4F864A28" w14:textId="77777777" w:rsidR="000A3DAF" w:rsidRDefault="000A3DAF" w:rsidP="001924E3">
            <w:pPr>
              <w:spacing w:before="40" w:after="40"/>
              <w:jc w:val="center"/>
            </w:pPr>
            <w:r>
              <w:rPr>
                <w:rFonts w:ascii="Arial" w:eastAsia="Arial" w:hAnsi="Arial" w:cs="Arial"/>
                <w:sz w:val="20"/>
                <w:szCs w:val="20"/>
              </w:rPr>
              <w:t>5</w:t>
            </w:r>
          </w:p>
        </w:tc>
        <w:tc>
          <w:tcPr>
            <w:tcW w:w="1583"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6DD7B9EB" w14:textId="77777777" w:rsidR="000A3DAF" w:rsidRDefault="000A3DAF" w:rsidP="001924E3">
            <w:pPr>
              <w:spacing w:before="40" w:after="40"/>
              <w:jc w:val="center"/>
            </w:pPr>
            <w:r>
              <w:rPr>
                <w:rFonts w:ascii="Arial" w:eastAsia="Arial" w:hAnsi="Arial" w:cs="Arial"/>
                <w:sz w:val="20"/>
                <w:szCs w:val="20"/>
              </w:rPr>
              <w:t>5.9</w:t>
            </w:r>
          </w:p>
        </w:tc>
      </w:tr>
    </w:tbl>
    <w:p w14:paraId="14764BF9" w14:textId="142A06BA" w:rsidR="000A3DAF" w:rsidRDefault="000A3DAF" w:rsidP="00E3292C">
      <w:r w:rsidRPr="000A3DAF">
        <w:t>Katılımcıların yalnızca %5,9'u Erasmus programına fiilen başvurmuş veya başvuracaktır. Öğrencilerin %34,1'i başvurmayı düşünmekte, %37,6'sı ise düşünmesine rağmen vazgeçmiş durumdadır. Hiç düşünmeyenlerin oranı %22,4'tür. Bu sonuçlar, öğrencilerin büyük çoğunluğunun (%71,7) Erasmus programına ilgi duyduğunu veya en azından değerlendirdiğini, ancak çeşitli nedenlerle katılıma dönüştüremediğini ortaya koymaktadır. Düşünüp vazgeçenlerin oranının en yüksek dilim olması, programın cazip görüldüğü ancak somut engellerin etkili olduğu şeklinde yorumlanabilecektir</w:t>
      </w:r>
      <w:r>
        <w:t>.</w:t>
      </w:r>
    </w:p>
    <w:bookmarkEnd w:id="3"/>
    <w:p w14:paraId="06969247" w14:textId="6812FAE3" w:rsidR="00D0678E" w:rsidRDefault="000A3DAF">
      <w:pPr>
        <w:rPr>
          <w:b/>
          <w:bCs/>
          <w:color w:val="000000" w:themeColor="text1"/>
        </w:rPr>
      </w:pPr>
      <w:r w:rsidRPr="000A3DAF">
        <w:rPr>
          <w:b/>
          <w:bCs/>
          <w:color w:val="000000" w:themeColor="text1"/>
        </w:rPr>
        <w:t>Sınıflara Göre Başvuru Düşüncesi</w:t>
      </w:r>
    </w:p>
    <w:p w14:paraId="32AE3297" w14:textId="77777777" w:rsidR="000A3DAF" w:rsidRPr="000A3DAF" w:rsidRDefault="000A3DAF" w:rsidP="000A3DAF">
      <w:pPr>
        <w:rPr>
          <w:color w:val="000000" w:themeColor="text1"/>
        </w:rPr>
      </w:pPr>
      <w:r w:rsidRPr="000A3DAF">
        <w:rPr>
          <w:color w:val="000000" w:themeColor="text1"/>
        </w:rPr>
        <w:t>Başvuru düşüncesinin sınıf düzeylerine göre dağılımı incelendiğinde aşağıdaki tablo ortaya çıkmaktadır:</w:t>
      </w:r>
    </w:p>
    <w:p w14:paraId="5FD79C60" w14:textId="7BF69015" w:rsidR="000A3DAF" w:rsidRPr="000A3DAF" w:rsidRDefault="000A3DAF" w:rsidP="000A3DAF">
      <w:pPr>
        <w:rPr>
          <w:b/>
          <w:bCs/>
          <w:color w:val="000000" w:themeColor="text1"/>
        </w:rPr>
      </w:pPr>
      <w:r w:rsidRPr="000A3DAF">
        <w:rPr>
          <w:b/>
          <w:bCs/>
          <w:color w:val="000000" w:themeColor="text1"/>
        </w:rPr>
        <w:t xml:space="preserve"> </w:t>
      </w:r>
      <w:r>
        <w:rPr>
          <w:noProof/>
        </w:rPr>
        <w:drawing>
          <wp:inline distT="0" distB="0" distL="0" distR="0" wp14:anchorId="3D026054" wp14:editId="1F36432B">
            <wp:extent cx="4762500" cy="2667000"/>
            <wp:effectExtent l="0" t="0" r="0" b="0"/>
            <wp:docPr id="1903614034" name="Sınıf Başvuru Çapraz Tablosu" descr="Sınıf Başvuru Çapraz Tablosu" title="Sınıf Başvuru Çapraz Tablos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6"/>
                    <a:srcRect/>
                    <a:stretch>
                      <a:fillRect/>
                    </a:stretch>
                  </pic:blipFill>
                  <pic:spPr bwMode="auto">
                    <a:xfrm>
                      <a:off x="0" y="0"/>
                      <a:ext cx="4762500" cy="2667000"/>
                    </a:xfrm>
                    <a:prstGeom prst="rect">
                      <a:avLst/>
                    </a:prstGeom>
                  </pic:spPr>
                </pic:pic>
              </a:graphicData>
            </a:graphic>
          </wp:inline>
        </w:drawing>
      </w:r>
    </w:p>
    <w:p w14:paraId="10CF12B5" w14:textId="639E406F" w:rsidR="0084674E" w:rsidRDefault="000A3DAF" w:rsidP="000A3DAF">
      <w:pPr>
        <w:rPr>
          <w:color w:val="000000" w:themeColor="text1"/>
        </w:rPr>
      </w:pPr>
      <w:r w:rsidRPr="000A3DAF">
        <w:rPr>
          <w:color w:val="000000" w:themeColor="text1"/>
        </w:rPr>
        <w:t xml:space="preserve">4. sınıf öğrencilerinin %43,5'i Erasmus'ı hiç düşünmemiştir; bu oran diğer sınıf düzeylerinin belirgin şekilde üzerindedir. Buna karşın, 3. sınıf öğrencilerinde hiç düşünmeyen bulunmamakta ve bu sınıfta başvuran/başvuracak oranı (%18,2) en yüksek düzeydedir. 1. ve 2. sınıf öğrencilerinde ise "düşünüyorum" yanıtı ağırlıklıdır. Bu veriler, Erasmus bilgilendirme ve yönlendirme faaliyetlerinin </w:t>
      </w:r>
      <w:r w:rsidRPr="000A3DAF">
        <w:rPr>
          <w:color w:val="000000" w:themeColor="text1"/>
        </w:rPr>
        <w:lastRenderedPageBreak/>
        <w:t>özellikle 1. ve 2. sınıf düzeyinde yoğunlaştırılmasının, potansiyel başvuru havuzunu genişletebileceğini düşündürmektedir.</w:t>
      </w:r>
    </w:p>
    <w:p w14:paraId="116DCFF3" w14:textId="77777777" w:rsidR="000A3DAF" w:rsidRPr="000A3DAF" w:rsidRDefault="000A3DAF" w:rsidP="000A3DAF">
      <w:pPr>
        <w:rPr>
          <w:b/>
          <w:bCs/>
          <w:color w:val="000000" w:themeColor="text1"/>
        </w:rPr>
      </w:pPr>
      <w:r w:rsidRPr="000A3DAF">
        <w:rPr>
          <w:b/>
          <w:bCs/>
          <w:color w:val="000000" w:themeColor="text1"/>
        </w:rPr>
        <w:t>Erasmus'a Katılmama Nedenleri</w:t>
      </w:r>
    </w:p>
    <w:p w14:paraId="19FC26FD" w14:textId="3CCF55B3" w:rsidR="000A3DAF" w:rsidRDefault="000A3DAF" w:rsidP="000A3DAF">
      <w:pPr>
        <w:rPr>
          <w:color w:val="000000" w:themeColor="text1"/>
        </w:rPr>
      </w:pPr>
      <w:r w:rsidRPr="000A3DAF">
        <w:rPr>
          <w:color w:val="000000" w:themeColor="text1"/>
        </w:rPr>
        <w:t>Öğrencilerden Erasmus'a katılmama nedenlerini en fazla 3 seçenek işaretleyerek belirtmeleri istenmiştir. Yanıtların dağılımı aşağıda gösterilmiştir:</w:t>
      </w:r>
    </w:p>
    <w:p w14:paraId="7EA49981" w14:textId="0BA1E234" w:rsidR="000A3DAF" w:rsidRDefault="000A3DAF" w:rsidP="000A3DAF">
      <w:pPr>
        <w:rPr>
          <w:color w:val="000000" w:themeColor="text1"/>
        </w:rPr>
      </w:pPr>
      <w:r>
        <w:rPr>
          <w:noProof/>
        </w:rPr>
        <w:drawing>
          <wp:inline distT="0" distB="0" distL="0" distR="0" wp14:anchorId="5C6F8D93" wp14:editId="3E973272">
            <wp:extent cx="5143500" cy="2857500"/>
            <wp:effectExtent l="0" t="0" r="0" b="0"/>
            <wp:docPr id="1078482457" name="Katılmama Nedenleri" descr="Katılmama Nedenleri" title="Katılmama Nedenler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7"/>
                    <a:srcRect/>
                    <a:stretch>
                      <a:fillRect/>
                    </a:stretch>
                  </pic:blipFill>
                  <pic:spPr bwMode="auto">
                    <a:xfrm>
                      <a:off x="0" y="0"/>
                      <a:ext cx="5143500" cy="2857500"/>
                    </a:xfrm>
                    <a:prstGeom prst="rect">
                      <a:avLst/>
                    </a:prstGeom>
                  </pic:spPr>
                </pic:pic>
              </a:graphicData>
            </a:graphic>
          </wp:inline>
        </w:drawing>
      </w:r>
    </w:p>
    <w:p w14:paraId="36F2AB4B" w14:textId="1D85EB2A" w:rsidR="0084674E" w:rsidRDefault="0084674E" w:rsidP="000A3DAF">
      <w:pPr>
        <w:spacing w:before="200" w:after="100"/>
        <w:jc w:val="center"/>
        <w:rPr>
          <w:rFonts w:ascii="Arial" w:eastAsia="Arial" w:hAnsi="Arial" w:cs="Arial"/>
          <w:b/>
          <w:bCs/>
          <w:color w:val="333333"/>
          <w:sz w:val="20"/>
          <w:szCs w:val="20"/>
        </w:rPr>
      </w:pPr>
      <w:r>
        <w:rPr>
          <w:rFonts w:ascii="Arial" w:eastAsia="Arial" w:hAnsi="Arial" w:cs="Arial"/>
          <w:b/>
          <w:bCs/>
          <w:color w:val="333333"/>
          <w:sz w:val="20"/>
          <w:szCs w:val="20"/>
        </w:rPr>
        <w:br w:type="page"/>
      </w:r>
    </w:p>
    <w:p w14:paraId="1608DE3D" w14:textId="178DD35F" w:rsidR="000A3DAF" w:rsidRDefault="000A3DAF" w:rsidP="000A3DAF">
      <w:pPr>
        <w:spacing w:before="200" w:after="100"/>
        <w:jc w:val="center"/>
      </w:pPr>
      <w:r>
        <w:rPr>
          <w:rFonts w:ascii="Arial" w:eastAsia="Arial" w:hAnsi="Arial" w:cs="Arial"/>
          <w:b/>
          <w:bCs/>
          <w:color w:val="333333"/>
          <w:sz w:val="20"/>
          <w:szCs w:val="20"/>
        </w:rPr>
        <w:lastRenderedPageBreak/>
        <w:t>Tablo 2: Erasmus'a Katılmama Nedenlerinin Dağılımı</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43"/>
        <w:gridCol w:w="1400"/>
        <w:gridCol w:w="1583"/>
      </w:tblGrid>
      <w:tr w:rsidR="000A3DAF" w14:paraId="4C81D155" w14:textId="77777777" w:rsidTr="001924E3">
        <w:tc>
          <w:tcPr>
            <w:tcW w:w="5500" w:type="dxa"/>
            <w:tcBorders>
              <w:top w:val="single" w:sz="1" w:space="0" w:color="999999"/>
              <w:left w:val="single" w:sz="1" w:space="0" w:color="999999"/>
              <w:bottom w:val="single" w:sz="1" w:space="0" w:color="999999"/>
              <w:right w:val="single" w:sz="1" w:space="0" w:color="999999"/>
            </w:tcBorders>
            <w:shd w:val="clear" w:color="auto" w:fill="2E75B6"/>
            <w:tcMar>
              <w:top w:w="60" w:type="dxa"/>
              <w:left w:w="100" w:type="dxa"/>
              <w:bottom w:w="60" w:type="dxa"/>
              <w:right w:w="100" w:type="dxa"/>
            </w:tcMar>
            <w:vAlign w:val="center"/>
          </w:tcPr>
          <w:p w14:paraId="6D4298E8" w14:textId="77777777" w:rsidR="000A3DAF" w:rsidRDefault="000A3DAF" w:rsidP="001924E3">
            <w:pPr>
              <w:jc w:val="center"/>
            </w:pPr>
            <w:r>
              <w:rPr>
                <w:rFonts w:ascii="Arial" w:eastAsia="Arial" w:hAnsi="Arial" w:cs="Arial"/>
                <w:b/>
                <w:bCs/>
                <w:color w:val="FFFFFF"/>
                <w:sz w:val="20"/>
                <w:szCs w:val="20"/>
              </w:rPr>
              <w:t>Neden</w:t>
            </w:r>
          </w:p>
        </w:tc>
        <w:tc>
          <w:tcPr>
            <w:tcW w:w="1200" w:type="dxa"/>
            <w:tcBorders>
              <w:top w:val="single" w:sz="1" w:space="0" w:color="999999"/>
              <w:left w:val="single" w:sz="1" w:space="0" w:color="999999"/>
              <w:bottom w:val="single" w:sz="1" w:space="0" w:color="999999"/>
              <w:right w:val="single" w:sz="1" w:space="0" w:color="999999"/>
            </w:tcBorders>
            <w:shd w:val="clear" w:color="auto" w:fill="2E75B6"/>
            <w:tcMar>
              <w:top w:w="60" w:type="dxa"/>
              <w:left w:w="100" w:type="dxa"/>
              <w:bottom w:w="60" w:type="dxa"/>
              <w:right w:w="100" w:type="dxa"/>
            </w:tcMar>
            <w:vAlign w:val="center"/>
          </w:tcPr>
          <w:p w14:paraId="2EF0F8D0" w14:textId="77777777" w:rsidR="000A3DAF" w:rsidRDefault="000A3DAF" w:rsidP="001924E3">
            <w:pPr>
              <w:jc w:val="center"/>
            </w:pPr>
            <w:r>
              <w:rPr>
                <w:rFonts w:ascii="Arial" w:eastAsia="Arial" w:hAnsi="Arial" w:cs="Arial"/>
                <w:b/>
                <w:bCs/>
                <w:color w:val="FFFFFF"/>
                <w:sz w:val="20"/>
                <w:szCs w:val="20"/>
              </w:rPr>
              <w:t>n</w:t>
            </w:r>
          </w:p>
        </w:tc>
        <w:tc>
          <w:tcPr>
            <w:tcW w:w="1326" w:type="dxa"/>
            <w:tcBorders>
              <w:top w:val="single" w:sz="1" w:space="0" w:color="999999"/>
              <w:left w:val="single" w:sz="1" w:space="0" w:color="999999"/>
              <w:bottom w:val="single" w:sz="1" w:space="0" w:color="999999"/>
              <w:right w:val="single" w:sz="1" w:space="0" w:color="999999"/>
            </w:tcBorders>
            <w:shd w:val="clear" w:color="auto" w:fill="2E75B6"/>
            <w:tcMar>
              <w:top w:w="60" w:type="dxa"/>
              <w:left w:w="100" w:type="dxa"/>
              <w:bottom w:w="60" w:type="dxa"/>
              <w:right w:w="100" w:type="dxa"/>
            </w:tcMar>
            <w:vAlign w:val="center"/>
          </w:tcPr>
          <w:p w14:paraId="6D861934" w14:textId="77777777" w:rsidR="000A3DAF" w:rsidRDefault="000A3DAF" w:rsidP="001924E3">
            <w:pPr>
              <w:jc w:val="center"/>
            </w:pPr>
            <w:r>
              <w:rPr>
                <w:rFonts w:ascii="Arial" w:eastAsia="Arial" w:hAnsi="Arial" w:cs="Arial"/>
                <w:b/>
                <w:bCs/>
                <w:color w:val="FFFFFF"/>
                <w:sz w:val="20"/>
                <w:szCs w:val="20"/>
              </w:rPr>
              <w:t>%</w:t>
            </w:r>
          </w:p>
        </w:tc>
      </w:tr>
      <w:tr w:rsidR="000A3DAF" w14:paraId="1358CF02" w14:textId="77777777" w:rsidTr="001924E3">
        <w:tc>
          <w:tcPr>
            <w:tcW w:w="5500"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2B488405" w14:textId="77777777" w:rsidR="000A3DAF" w:rsidRDefault="000A3DAF" w:rsidP="001924E3">
            <w:pPr>
              <w:spacing w:before="40" w:after="40"/>
            </w:pPr>
            <w:r>
              <w:rPr>
                <w:rFonts w:ascii="Arial" w:eastAsia="Arial" w:hAnsi="Arial" w:cs="Arial"/>
                <w:sz w:val="20"/>
                <w:szCs w:val="20"/>
              </w:rPr>
              <w:t>Yabancı dil yetersizliği</w:t>
            </w:r>
          </w:p>
        </w:tc>
        <w:tc>
          <w:tcPr>
            <w:tcW w:w="1200"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17FD7B00" w14:textId="77777777" w:rsidR="000A3DAF" w:rsidRDefault="000A3DAF" w:rsidP="001924E3">
            <w:pPr>
              <w:spacing w:before="40" w:after="40"/>
              <w:jc w:val="center"/>
            </w:pPr>
            <w:r>
              <w:rPr>
                <w:rFonts w:ascii="Arial" w:eastAsia="Arial" w:hAnsi="Arial" w:cs="Arial"/>
                <w:sz w:val="20"/>
                <w:szCs w:val="20"/>
              </w:rPr>
              <w:t>64</w:t>
            </w:r>
          </w:p>
        </w:tc>
        <w:tc>
          <w:tcPr>
            <w:tcW w:w="1326"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726477E7" w14:textId="77777777" w:rsidR="000A3DAF" w:rsidRDefault="000A3DAF" w:rsidP="001924E3">
            <w:pPr>
              <w:spacing w:before="40" w:after="40"/>
              <w:jc w:val="center"/>
            </w:pPr>
            <w:r>
              <w:rPr>
                <w:rFonts w:ascii="Arial" w:eastAsia="Arial" w:hAnsi="Arial" w:cs="Arial"/>
                <w:sz w:val="20"/>
                <w:szCs w:val="20"/>
              </w:rPr>
              <w:t>75.3</w:t>
            </w:r>
          </w:p>
        </w:tc>
      </w:tr>
      <w:tr w:rsidR="000A3DAF" w14:paraId="47C77731" w14:textId="77777777" w:rsidTr="001924E3">
        <w:tc>
          <w:tcPr>
            <w:tcW w:w="5500"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510A3D64" w14:textId="77777777" w:rsidR="000A3DAF" w:rsidRDefault="000A3DAF" w:rsidP="001924E3">
            <w:pPr>
              <w:spacing w:before="40" w:after="40"/>
            </w:pPr>
            <w:r>
              <w:rPr>
                <w:rFonts w:ascii="Arial" w:eastAsia="Arial" w:hAnsi="Arial" w:cs="Arial"/>
                <w:sz w:val="20"/>
                <w:szCs w:val="20"/>
              </w:rPr>
              <w:t>Yeterli bilgiye sahip değilim</w:t>
            </w:r>
          </w:p>
        </w:tc>
        <w:tc>
          <w:tcPr>
            <w:tcW w:w="1200"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10E211FA" w14:textId="77777777" w:rsidR="000A3DAF" w:rsidRDefault="000A3DAF" w:rsidP="001924E3">
            <w:pPr>
              <w:spacing w:before="40" w:after="40"/>
              <w:jc w:val="center"/>
            </w:pPr>
            <w:r>
              <w:rPr>
                <w:rFonts w:ascii="Arial" w:eastAsia="Arial" w:hAnsi="Arial" w:cs="Arial"/>
                <w:sz w:val="20"/>
                <w:szCs w:val="20"/>
              </w:rPr>
              <w:t>35</w:t>
            </w:r>
          </w:p>
        </w:tc>
        <w:tc>
          <w:tcPr>
            <w:tcW w:w="1326"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4BD865D5" w14:textId="77777777" w:rsidR="000A3DAF" w:rsidRDefault="000A3DAF" w:rsidP="001924E3">
            <w:pPr>
              <w:spacing w:before="40" w:after="40"/>
              <w:jc w:val="center"/>
            </w:pPr>
            <w:r>
              <w:rPr>
                <w:rFonts w:ascii="Arial" w:eastAsia="Arial" w:hAnsi="Arial" w:cs="Arial"/>
                <w:sz w:val="20"/>
                <w:szCs w:val="20"/>
              </w:rPr>
              <w:t>41.2</w:t>
            </w:r>
          </w:p>
        </w:tc>
      </w:tr>
      <w:tr w:rsidR="000A3DAF" w14:paraId="73E74A36" w14:textId="77777777" w:rsidTr="001924E3">
        <w:tc>
          <w:tcPr>
            <w:tcW w:w="5500"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4A347256" w14:textId="77777777" w:rsidR="000A3DAF" w:rsidRDefault="000A3DAF" w:rsidP="001924E3">
            <w:pPr>
              <w:spacing w:before="40" w:after="40"/>
            </w:pPr>
            <w:r>
              <w:rPr>
                <w:rFonts w:ascii="Arial" w:eastAsia="Arial" w:hAnsi="Arial" w:cs="Arial"/>
                <w:sz w:val="20"/>
                <w:szCs w:val="20"/>
              </w:rPr>
              <w:t>Derslerin sayılmaması / dönem uzama kaygısı</w:t>
            </w:r>
          </w:p>
        </w:tc>
        <w:tc>
          <w:tcPr>
            <w:tcW w:w="1200"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5913176C" w14:textId="77777777" w:rsidR="000A3DAF" w:rsidRDefault="000A3DAF" w:rsidP="001924E3">
            <w:pPr>
              <w:spacing w:before="40" w:after="40"/>
              <w:jc w:val="center"/>
            </w:pPr>
            <w:r>
              <w:rPr>
                <w:rFonts w:ascii="Arial" w:eastAsia="Arial" w:hAnsi="Arial" w:cs="Arial"/>
                <w:sz w:val="20"/>
                <w:szCs w:val="20"/>
              </w:rPr>
              <w:t>30</w:t>
            </w:r>
          </w:p>
        </w:tc>
        <w:tc>
          <w:tcPr>
            <w:tcW w:w="1326"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4C765D54" w14:textId="77777777" w:rsidR="000A3DAF" w:rsidRDefault="000A3DAF" w:rsidP="001924E3">
            <w:pPr>
              <w:spacing w:before="40" w:after="40"/>
              <w:jc w:val="center"/>
            </w:pPr>
            <w:r>
              <w:rPr>
                <w:rFonts w:ascii="Arial" w:eastAsia="Arial" w:hAnsi="Arial" w:cs="Arial"/>
                <w:sz w:val="20"/>
                <w:szCs w:val="20"/>
              </w:rPr>
              <w:t>35.3</w:t>
            </w:r>
          </w:p>
        </w:tc>
      </w:tr>
      <w:tr w:rsidR="000A3DAF" w14:paraId="6AB172E7" w14:textId="77777777" w:rsidTr="001924E3">
        <w:tc>
          <w:tcPr>
            <w:tcW w:w="5500"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0B16ECA3" w14:textId="77777777" w:rsidR="000A3DAF" w:rsidRDefault="000A3DAF" w:rsidP="001924E3">
            <w:pPr>
              <w:spacing w:before="40" w:after="40"/>
            </w:pPr>
            <w:r>
              <w:rPr>
                <w:rFonts w:ascii="Arial" w:eastAsia="Arial" w:hAnsi="Arial" w:cs="Arial"/>
                <w:sz w:val="20"/>
                <w:szCs w:val="20"/>
              </w:rPr>
              <w:t>Maddi yetersizlik (hibe az)</w:t>
            </w:r>
          </w:p>
        </w:tc>
        <w:tc>
          <w:tcPr>
            <w:tcW w:w="1200"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0980D5CD" w14:textId="77777777" w:rsidR="000A3DAF" w:rsidRDefault="000A3DAF" w:rsidP="001924E3">
            <w:pPr>
              <w:spacing w:before="40" w:after="40"/>
              <w:jc w:val="center"/>
            </w:pPr>
            <w:r>
              <w:rPr>
                <w:rFonts w:ascii="Arial" w:eastAsia="Arial" w:hAnsi="Arial" w:cs="Arial"/>
                <w:sz w:val="20"/>
                <w:szCs w:val="20"/>
              </w:rPr>
              <w:t>26</w:t>
            </w:r>
          </w:p>
        </w:tc>
        <w:tc>
          <w:tcPr>
            <w:tcW w:w="1326"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2E96CFDF" w14:textId="77777777" w:rsidR="000A3DAF" w:rsidRDefault="000A3DAF" w:rsidP="001924E3">
            <w:pPr>
              <w:spacing w:before="40" w:after="40"/>
              <w:jc w:val="center"/>
            </w:pPr>
            <w:r>
              <w:rPr>
                <w:rFonts w:ascii="Arial" w:eastAsia="Arial" w:hAnsi="Arial" w:cs="Arial"/>
                <w:sz w:val="20"/>
                <w:szCs w:val="20"/>
              </w:rPr>
              <w:t>30.6</w:t>
            </w:r>
          </w:p>
        </w:tc>
      </w:tr>
      <w:tr w:rsidR="000A3DAF" w14:paraId="45385752" w14:textId="77777777" w:rsidTr="001924E3">
        <w:tc>
          <w:tcPr>
            <w:tcW w:w="5500"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34920067" w14:textId="77777777" w:rsidR="000A3DAF" w:rsidRDefault="000A3DAF" w:rsidP="001924E3">
            <w:pPr>
              <w:spacing w:before="40" w:after="40"/>
            </w:pPr>
            <w:r>
              <w:rPr>
                <w:rFonts w:ascii="Arial" w:eastAsia="Arial" w:hAnsi="Arial" w:cs="Arial"/>
                <w:sz w:val="20"/>
                <w:szCs w:val="20"/>
              </w:rPr>
              <w:t>Vize / bürokrasi süreci</w:t>
            </w:r>
          </w:p>
        </w:tc>
        <w:tc>
          <w:tcPr>
            <w:tcW w:w="1200"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60264C41" w14:textId="77777777" w:rsidR="000A3DAF" w:rsidRDefault="000A3DAF" w:rsidP="001924E3">
            <w:pPr>
              <w:spacing w:before="40" w:after="40"/>
              <w:jc w:val="center"/>
            </w:pPr>
            <w:r>
              <w:rPr>
                <w:rFonts w:ascii="Arial" w:eastAsia="Arial" w:hAnsi="Arial" w:cs="Arial"/>
                <w:sz w:val="20"/>
                <w:szCs w:val="20"/>
              </w:rPr>
              <w:t>15</w:t>
            </w:r>
          </w:p>
        </w:tc>
        <w:tc>
          <w:tcPr>
            <w:tcW w:w="1326"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3848357A" w14:textId="77777777" w:rsidR="000A3DAF" w:rsidRDefault="000A3DAF" w:rsidP="001924E3">
            <w:pPr>
              <w:spacing w:before="40" w:after="40"/>
              <w:jc w:val="center"/>
            </w:pPr>
            <w:r>
              <w:rPr>
                <w:rFonts w:ascii="Arial" w:eastAsia="Arial" w:hAnsi="Arial" w:cs="Arial"/>
                <w:sz w:val="20"/>
                <w:szCs w:val="20"/>
              </w:rPr>
              <w:t>17.6</w:t>
            </w:r>
          </w:p>
        </w:tc>
      </w:tr>
      <w:tr w:rsidR="000A3DAF" w14:paraId="0D9DD5DF" w14:textId="77777777" w:rsidTr="001924E3">
        <w:tc>
          <w:tcPr>
            <w:tcW w:w="5500"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1D7AC201" w14:textId="77777777" w:rsidR="000A3DAF" w:rsidRDefault="000A3DAF" w:rsidP="001924E3">
            <w:pPr>
              <w:spacing w:before="40" w:after="40"/>
            </w:pPr>
            <w:r>
              <w:rPr>
                <w:rFonts w:ascii="Arial" w:eastAsia="Arial" w:hAnsi="Arial" w:cs="Arial"/>
                <w:sz w:val="20"/>
                <w:szCs w:val="20"/>
              </w:rPr>
              <w:t>Yurt dışında yaşama kaygısı</w:t>
            </w:r>
          </w:p>
        </w:tc>
        <w:tc>
          <w:tcPr>
            <w:tcW w:w="1200"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09715258" w14:textId="77777777" w:rsidR="000A3DAF" w:rsidRDefault="000A3DAF" w:rsidP="001924E3">
            <w:pPr>
              <w:spacing w:before="40" w:after="40"/>
              <w:jc w:val="center"/>
            </w:pPr>
            <w:r>
              <w:rPr>
                <w:rFonts w:ascii="Arial" w:eastAsia="Arial" w:hAnsi="Arial" w:cs="Arial"/>
                <w:sz w:val="20"/>
                <w:szCs w:val="20"/>
              </w:rPr>
              <w:t>13</w:t>
            </w:r>
          </w:p>
        </w:tc>
        <w:tc>
          <w:tcPr>
            <w:tcW w:w="1326"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5B70B35D" w14:textId="77777777" w:rsidR="000A3DAF" w:rsidRDefault="000A3DAF" w:rsidP="001924E3">
            <w:pPr>
              <w:spacing w:before="40" w:after="40"/>
              <w:jc w:val="center"/>
            </w:pPr>
            <w:r>
              <w:rPr>
                <w:rFonts w:ascii="Arial" w:eastAsia="Arial" w:hAnsi="Arial" w:cs="Arial"/>
                <w:sz w:val="20"/>
                <w:szCs w:val="20"/>
              </w:rPr>
              <w:t>15.3</w:t>
            </w:r>
          </w:p>
        </w:tc>
      </w:tr>
      <w:tr w:rsidR="000A3DAF" w14:paraId="7119C518" w14:textId="77777777" w:rsidTr="001924E3">
        <w:tc>
          <w:tcPr>
            <w:tcW w:w="5500"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7B2292BE" w14:textId="77777777" w:rsidR="000A3DAF" w:rsidRDefault="000A3DAF" w:rsidP="001924E3">
            <w:pPr>
              <w:spacing w:before="40" w:after="40"/>
            </w:pPr>
            <w:r>
              <w:rPr>
                <w:rFonts w:ascii="Arial" w:eastAsia="Arial" w:hAnsi="Arial" w:cs="Arial"/>
                <w:sz w:val="20"/>
                <w:szCs w:val="20"/>
              </w:rPr>
              <w:t>Ailevi nedenler</w:t>
            </w:r>
          </w:p>
        </w:tc>
        <w:tc>
          <w:tcPr>
            <w:tcW w:w="1200"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78646ED8" w14:textId="77777777" w:rsidR="000A3DAF" w:rsidRDefault="000A3DAF" w:rsidP="001924E3">
            <w:pPr>
              <w:spacing w:before="40" w:after="40"/>
              <w:jc w:val="center"/>
            </w:pPr>
            <w:r>
              <w:rPr>
                <w:rFonts w:ascii="Arial" w:eastAsia="Arial" w:hAnsi="Arial" w:cs="Arial"/>
                <w:sz w:val="20"/>
                <w:szCs w:val="20"/>
              </w:rPr>
              <w:t>9</w:t>
            </w:r>
          </w:p>
        </w:tc>
        <w:tc>
          <w:tcPr>
            <w:tcW w:w="1326"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3FFD3CFE" w14:textId="77777777" w:rsidR="000A3DAF" w:rsidRDefault="000A3DAF" w:rsidP="001924E3">
            <w:pPr>
              <w:spacing w:before="40" w:after="40"/>
              <w:jc w:val="center"/>
            </w:pPr>
            <w:r>
              <w:rPr>
                <w:rFonts w:ascii="Arial" w:eastAsia="Arial" w:hAnsi="Arial" w:cs="Arial"/>
                <w:sz w:val="20"/>
                <w:szCs w:val="20"/>
              </w:rPr>
              <w:t>10.6</w:t>
            </w:r>
          </w:p>
        </w:tc>
      </w:tr>
      <w:tr w:rsidR="000A3DAF" w14:paraId="62ECBCF4" w14:textId="77777777" w:rsidTr="001924E3">
        <w:tc>
          <w:tcPr>
            <w:tcW w:w="5500"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04AB2E59" w14:textId="77777777" w:rsidR="000A3DAF" w:rsidRDefault="000A3DAF" w:rsidP="001924E3">
            <w:pPr>
              <w:spacing w:before="40" w:after="40"/>
            </w:pPr>
            <w:r>
              <w:rPr>
                <w:rFonts w:ascii="Arial" w:eastAsia="Arial" w:hAnsi="Arial" w:cs="Arial"/>
                <w:sz w:val="20"/>
                <w:szCs w:val="20"/>
              </w:rPr>
              <w:t>Yurt dışında güvenlik kaygısı</w:t>
            </w:r>
          </w:p>
        </w:tc>
        <w:tc>
          <w:tcPr>
            <w:tcW w:w="1200"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361DACED" w14:textId="77777777" w:rsidR="000A3DAF" w:rsidRDefault="000A3DAF" w:rsidP="001924E3">
            <w:pPr>
              <w:spacing w:before="40" w:after="40"/>
              <w:jc w:val="center"/>
            </w:pPr>
            <w:r>
              <w:rPr>
                <w:rFonts w:ascii="Arial" w:eastAsia="Arial" w:hAnsi="Arial" w:cs="Arial"/>
                <w:sz w:val="20"/>
                <w:szCs w:val="20"/>
              </w:rPr>
              <w:t>7</w:t>
            </w:r>
          </w:p>
        </w:tc>
        <w:tc>
          <w:tcPr>
            <w:tcW w:w="1326"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2B7FDA76" w14:textId="77777777" w:rsidR="000A3DAF" w:rsidRDefault="000A3DAF" w:rsidP="001924E3">
            <w:pPr>
              <w:spacing w:before="40" w:after="40"/>
              <w:jc w:val="center"/>
            </w:pPr>
            <w:r>
              <w:rPr>
                <w:rFonts w:ascii="Arial" w:eastAsia="Arial" w:hAnsi="Arial" w:cs="Arial"/>
                <w:sz w:val="20"/>
                <w:szCs w:val="20"/>
              </w:rPr>
              <w:t>8.2</w:t>
            </w:r>
          </w:p>
        </w:tc>
      </w:tr>
      <w:tr w:rsidR="000A3DAF" w14:paraId="12B0CC8A" w14:textId="77777777" w:rsidTr="001924E3">
        <w:tc>
          <w:tcPr>
            <w:tcW w:w="5500"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2F19BF8C" w14:textId="77777777" w:rsidR="000A3DAF" w:rsidRDefault="000A3DAF" w:rsidP="001924E3">
            <w:pPr>
              <w:spacing w:before="40" w:after="40"/>
            </w:pPr>
            <w:r>
              <w:rPr>
                <w:rFonts w:ascii="Arial" w:eastAsia="Arial" w:hAnsi="Arial" w:cs="Arial"/>
                <w:sz w:val="20"/>
                <w:szCs w:val="20"/>
              </w:rPr>
              <w:t>Çalışıyor olmam</w:t>
            </w:r>
          </w:p>
        </w:tc>
        <w:tc>
          <w:tcPr>
            <w:tcW w:w="1200"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09D62EB6" w14:textId="77777777" w:rsidR="000A3DAF" w:rsidRDefault="000A3DAF" w:rsidP="001924E3">
            <w:pPr>
              <w:spacing w:before="40" w:after="40"/>
              <w:jc w:val="center"/>
            </w:pPr>
            <w:r>
              <w:rPr>
                <w:rFonts w:ascii="Arial" w:eastAsia="Arial" w:hAnsi="Arial" w:cs="Arial"/>
                <w:sz w:val="20"/>
                <w:szCs w:val="20"/>
              </w:rPr>
              <w:t>3</w:t>
            </w:r>
          </w:p>
        </w:tc>
        <w:tc>
          <w:tcPr>
            <w:tcW w:w="1326"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78CAAF37" w14:textId="77777777" w:rsidR="000A3DAF" w:rsidRDefault="000A3DAF" w:rsidP="001924E3">
            <w:pPr>
              <w:spacing w:before="40" w:after="40"/>
              <w:jc w:val="center"/>
            </w:pPr>
            <w:r>
              <w:rPr>
                <w:rFonts w:ascii="Arial" w:eastAsia="Arial" w:hAnsi="Arial" w:cs="Arial"/>
                <w:sz w:val="20"/>
                <w:szCs w:val="20"/>
              </w:rPr>
              <w:t>3.5</w:t>
            </w:r>
          </w:p>
        </w:tc>
      </w:tr>
      <w:tr w:rsidR="000A3DAF" w14:paraId="14912666" w14:textId="77777777" w:rsidTr="001924E3">
        <w:tc>
          <w:tcPr>
            <w:tcW w:w="5500"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23A391D7" w14:textId="77777777" w:rsidR="000A3DAF" w:rsidRDefault="000A3DAF" w:rsidP="001924E3">
            <w:pPr>
              <w:spacing w:before="40" w:after="40"/>
            </w:pPr>
            <w:r>
              <w:rPr>
                <w:rFonts w:ascii="Arial" w:eastAsia="Arial" w:hAnsi="Arial" w:cs="Arial"/>
                <w:sz w:val="20"/>
                <w:szCs w:val="20"/>
              </w:rPr>
              <w:t>İlgimi çekmiyor</w:t>
            </w:r>
          </w:p>
        </w:tc>
        <w:tc>
          <w:tcPr>
            <w:tcW w:w="1200"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551EB86D" w14:textId="77777777" w:rsidR="000A3DAF" w:rsidRDefault="000A3DAF" w:rsidP="001924E3">
            <w:pPr>
              <w:spacing w:before="40" w:after="40"/>
              <w:jc w:val="center"/>
            </w:pPr>
            <w:r>
              <w:rPr>
                <w:rFonts w:ascii="Arial" w:eastAsia="Arial" w:hAnsi="Arial" w:cs="Arial"/>
                <w:sz w:val="20"/>
                <w:szCs w:val="20"/>
              </w:rPr>
              <w:t>3</w:t>
            </w:r>
          </w:p>
        </w:tc>
        <w:tc>
          <w:tcPr>
            <w:tcW w:w="1326"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169606D7" w14:textId="77777777" w:rsidR="000A3DAF" w:rsidRDefault="000A3DAF" w:rsidP="001924E3">
            <w:pPr>
              <w:spacing w:before="40" w:after="40"/>
              <w:jc w:val="center"/>
            </w:pPr>
            <w:r>
              <w:rPr>
                <w:rFonts w:ascii="Arial" w:eastAsia="Arial" w:hAnsi="Arial" w:cs="Arial"/>
                <w:sz w:val="20"/>
                <w:szCs w:val="20"/>
              </w:rPr>
              <w:t>3.5</w:t>
            </w:r>
          </w:p>
        </w:tc>
      </w:tr>
    </w:tbl>
    <w:p w14:paraId="43D85F2A" w14:textId="77777777" w:rsidR="000A3DAF" w:rsidRDefault="000A3DAF" w:rsidP="000A3DAF">
      <w:r>
        <w:t>Yabancı dil yetersizliği (%75,3) açık ara en yaygın katılmama nedeni olarak öne çıkmaktadır. Katılımcıların dörtte üçünün bu seçeneği işaretlemiş olması, yabancı dil yeterliliğinin Erasmus katılımının önündeki en kritik bireysel engel olduğunu göstermektedir. İkinci sırada, yeterli bilgiye sahip olmama (%41,2) yer almaktadır; bu bulgu, Erasmus sürecine ilişkin kurumsal bilgilendirme eksikliğinin önemli bir engel oluşturduğuna işaret etmektedir.</w:t>
      </w:r>
    </w:p>
    <w:p w14:paraId="5EC7B62F" w14:textId="7E6898EF" w:rsidR="0084674E" w:rsidRDefault="000A3DAF" w:rsidP="000A3DAF">
      <w:r>
        <w:t>Derslerin sayılmaması veya dönem uzama kaygısı (%35,3) ve maddi yetersizlik (%30,6) de kayda değer oranlarda belirtilmiştir. Bu iki neden, akademik ve ekonomik boyutlardaki yapısal engelleri yansıtmaktadır. Vize ve bürokrasi süreci (%17,6), yurt dışında yaşama kaygısı (%15,3) ve ailevi nedenler (%10,6) ise ikincil ancak göz ardı edilemeyecek faktörler olarak dikkat çekmektedir.</w:t>
      </w:r>
      <w:r w:rsidR="0084674E">
        <w:br w:type="page"/>
      </w:r>
    </w:p>
    <w:p w14:paraId="03203F92" w14:textId="77777777" w:rsidR="000A3DAF" w:rsidRPr="000A3DAF" w:rsidRDefault="000A3DAF" w:rsidP="000A3DAF">
      <w:pPr>
        <w:rPr>
          <w:b/>
          <w:bCs/>
          <w:color w:val="000000" w:themeColor="text1"/>
        </w:rPr>
      </w:pPr>
      <w:r w:rsidRPr="000A3DAF">
        <w:rPr>
          <w:b/>
          <w:bCs/>
          <w:color w:val="000000" w:themeColor="text1"/>
        </w:rPr>
        <w:lastRenderedPageBreak/>
        <w:t>Katılmama Kararının Niteliği</w:t>
      </w:r>
    </w:p>
    <w:p w14:paraId="573E8F36" w14:textId="07338920" w:rsidR="000A3DAF" w:rsidRDefault="000A3DAF" w:rsidP="000A3DAF">
      <w:pPr>
        <w:rPr>
          <w:color w:val="000000" w:themeColor="text1"/>
        </w:rPr>
      </w:pPr>
      <w:r w:rsidRPr="000A3DAF">
        <w:rPr>
          <w:color w:val="000000" w:themeColor="text1"/>
        </w:rPr>
        <w:t>Öğrencilere Erasmus'a katılmama kararlarının daha çok hangi nitelikte olduğu sorulmuş ve yanıtların dağılımı aşağıdaki şekilde gerçekleşmiştir:</w:t>
      </w:r>
    </w:p>
    <w:p w14:paraId="4EC093E3" w14:textId="4CF65B68" w:rsidR="000A3DAF" w:rsidRDefault="000A3DAF" w:rsidP="000A3DAF">
      <w:pPr>
        <w:rPr>
          <w:color w:val="000000" w:themeColor="text1"/>
        </w:rPr>
      </w:pPr>
      <w:r>
        <w:rPr>
          <w:noProof/>
        </w:rPr>
        <w:drawing>
          <wp:inline distT="0" distB="0" distL="0" distR="0" wp14:anchorId="221D8CDC" wp14:editId="62B192DC">
            <wp:extent cx="4572000" cy="2143125"/>
            <wp:effectExtent l="0" t="0" r="0" b="0"/>
            <wp:docPr id="1471814942" name="Karar Türü" descr="Karar Türü" title="Karar Tür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8"/>
                    <a:srcRect/>
                    <a:stretch>
                      <a:fillRect/>
                    </a:stretch>
                  </pic:blipFill>
                  <pic:spPr bwMode="auto">
                    <a:xfrm>
                      <a:off x="0" y="0"/>
                      <a:ext cx="4572000" cy="2143125"/>
                    </a:xfrm>
                    <a:prstGeom prst="rect">
                      <a:avLst/>
                    </a:prstGeom>
                  </pic:spPr>
                </pic:pic>
              </a:graphicData>
            </a:graphic>
          </wp:inline>
        </w:drawing>
      </w:r>
    </w:p>
    <w:p w14:paraId="6FC918CB" w14:textId="77777777" w:rsidR="000A3DAF" w:rsidRDefault="000A3DAF" w:rsidP="000A3DAF">
      <w:pPr>
        <w:spacing w:before="200" w:after="100"/>
        <w:jc w:val="center"/>
      </w:pPr>
      <w:r>
        <w:rPr>
          <w:rFonts w:ascii="Arial" w:eastAsia="Arial" w:hAnsi="Arial" w:cs="Arial"/>
          <w:b/>
          <w:bCs/>
          <w:color w:val="333333"/>
          <w:sz w:val="20"/>
          <w:szCs w:val="20"/>
        </w:rPr>
        <w:t>Tablo 3: Katılmama Kararının Niteliğine Göre Dağılım</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43"/>
        <w:gridCol w:w="1400"/>
        <w:gridCol w:w="1583"/>
      </w:tblGrid>
      <w:tr w:rsidR="000A3DAF" w14:paraId="334E809C" w14:textId="77777777" w:rsidTr="000A3DAF">
        <w:tc>
          <w:tcPr>
            <w:tcW w:w="6043" w:type="dxa"/>
            <w:tcBorders>
              <w:top w:val="single" w:sz="1" w:space="0" w:color="999999"/>
              <w:left w:val="single" w:sz="1" w:space="0" w:color="999999"/>
              <w:bottom w:val="single" w:sz="1" w:space="0" w:color="999999"/>
              <w:right w:val="single" w:sz="1" w:space="0" w:color="999999"/>
            </w:tcBorders>
            <w:shd w:val="clear" w:color="auto" w:fill="2E75B6"/>
            <w:tcMar>
              <w:top w:w="60" w:type="dxa"/>
              <w:left w:w="100" w:type="dxa"/>
              <w:bottom w:w="60" w:type="dxa"/>
              <w:right w:w="100" w:type="dxa"/>
            </w:tcMar>
            <w:vAlign w:val="center"/>
          </w:tcPr>
          <w:p w14:paraId="10C91DCF" w14:textId="77777777" w:rsidR="000A3DAF" w:rsidRDefault="000A3DAF" w:rsidP="001924E3">
            <w:pPr>
              <w:jc w:val="center"/>
            </w:pPr>
            <w:r>
              <w:rPr>
                <w:rFonts w:ascii="Arial" w:eastAsia="Arial" w:hAnsi="Arial" w:cs="Arial"/>
                <w:b/>
                <w:bCs/>
                <w:color w:val="FFFFFF"/>
                <w:sz w:val="20"/>
                <w:szCs w:val="20"/>
              </w:rPr>
              <w:t>Karar Türü</w:t>
            </w:r>
          </w:p>
        </w:tc>
        <w:tc>
          <w:tcPr>
            <w:tcW w:w="1400" w:type="dxa"/>
            <w:tcBorders>
              <w:top w:val="single" w:sz="1" w:space="0" w:color="999999"/>
              <w:left w:val="single" w:sz="1" w:space="0" w:color="999999"/>
              <w:bottom w:val="single" w:sz="1" w:space="0" w:color="999999"/>
              <w:right w:val="single" w:sz="1" w:space="0" w:color="999999"/>
            </w:tcBorders>
            <w:shd w:val="clear" w:color="auto" w:fill="2E75B6"/>
            <w:tcMar>
              <w:top w:w="60" w:type="dxa"/>
              <w:left w:w="100" w:type="dxa"/>
              <w:bottom w:w="60" w:type="dxa"/>
              <w:right w:w="100" w:type="dxa"/>
            </w:tcMar>
            <w:vAlign w:val="center"/>
          </w:tcPr>
          <w:p w14:paraId="0E893DA2" w14:textId="77777777" w:rsidR="000A3DAF" w:rsidRDefault="000A3DAF" w:rsidP="001924E3">
            <w:pPr>
              <w:jc w:val="center"/>
            </w:pPr>
            <w:r>
              <w:rPr>
                <w:rFonts w:ascii="Arial" w:eastAsia="Arial" w:hAnsi="Arial" w:cs="Arial"/>
                <w:b/>
                <w:bCs/>
                <w:color w:val="FFFFFF"/>
                <w:sz w:val="20"/>
                <w:szCs w:val="20"/>
              </w:rPr>
              <w:t>n</w:t>
            </w:r>
          </w:p>
        </w:tc>
        <w:tc>
          <w:tcPr>
            <w:tcW w:w="1583" w:type="dxa"/>
            <w:tcBorders>
              <w:top w:val="single" w:sz="1" w:space="0" w:color="999999"/>
              <w:left w:val="single" w:sz="1" w:space="0" w:color="999999"/>
              <w:bottom w:val="single" w:sz="1" w:space="0" w:color="999999"/>
              <w:right w:val="single" w:sz="1" w:space="0" w:color="999999"/>
            </w:tcBorders>
            <w:shd w:val="clear" w:color="auto" w:fill="2E75B6"/>
            <w:tcMar>
              <w:top w:w="60" w:type="dxa"/>
              <w:left w:w="100" w:type="dxa"/>
              <w:bottom w:w="60" w:type="dxa"/>
              <w:right w:w="100" w:type="dxa"/>
            </w:tcMar>
            <w:vAlign w:val="center"/>
          </w:tcPr>
          <w:p w14:paraId="420E2281" w14:textId="77777777" w:rsidR="000A3DAF" w:rsidRDefault="000A3DAF" w:rsidP="001924E3">
            <w:pPr>
              <w:jc w:val="center"/>
            </w:pPr>
            <w:r>
              <w:rPr>
                <w:rFonts w:ascii="Arial" w:eastAsia="Arial" w:hAnsi="Arial" w:cs="Arial"/>
                <w:b/>
                <w:bCs/>
                <w:color w:val="FFFFFF"/>
                <w:sz w:val="20"/>
                <w:szCs w:val="20"/>
              </w:rPr>
              <w:t>%</w:t>
            </w:r>
          </w:p>
        </w:tc>
      </w:tr>
      <w:tr w:rsidR="000A3DAF" w14:paraId="211779CD" w14:textId="77777777" w:rsidTr="000A3DAF">
        <w:tc>
          <w:tcPr>
            <w:tcW w:w="6043"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65A8C107" w14:textId="77777777" w:rsidR="000A3DAF" w:rsidRDefault="000A3DAF" w:rsidP="001924E3">
            <w:pPr>
              <w:spacing w:before="40" w:after="40"/>
            </w:pPr>
            <w:r>
              <w:rPr>
                <w:rFonts w:ascii="Arial" w:eastAsia="Arial" w:hAnsi="Arial" w:cs="Arial"/>
                <w:sz w:val="20"/>
                <w:szCs w:val="20"/>
              </w:rPr>
              <w:t>Yabancı dil yetersizliği</w:t>
            </w:r>
          </w:p>
        </w:tc>
        <w:tc>
          <w:tcPr>
            <w:tcW w:w="1400"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16021A03" w14:textId="77777777" w:rsidR="000A3DAF" w:rsidRDefault="000A3DAF" w:rsidP="001924E3">
            <w:pPr>
              <w:spacing w:before="40" w:after="40"/>
              <w:jc w:val="center"/>
            </w:pPr>
            <w:r>
              <w:rPr>
                <w:rFonts w:ascii="Arial" w:eastAsia="Arial" w:hAnsi="Arial" w:cs="Arial"/>
                <w:sz w:val="20"/>
                <w:szCs w:val="20"/>
              </w:rPr>
              <w:t>41</w:t>
            </w:r>
          </w:p>
        </w:tc>
        <w:tc>
          <w:tcPr>
            <w:tcW w:w="1583"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69ACB137" w14:textId="77777777" w:rsidR="000A3DAF" w:rsidRDefault="000A3DAF" w:rsidP="001924E3">
            <w:pPr>
              <w:spacing w:before="40" w:after="40"/>
              <w:jc w:val="center"/>
            </w:pPr>
            <w:r>
              <w:rPr>
                <w:rFonts w:ascii="Arial" w:eastAsia="Arial" w:hAnsi="Arial" w:cs="Arial"/>
                <w:sz w:val="20"/>
                <w:szCs w:val="20"/>
              </w:rPr>
              <w:t>48.2</w:t>
            </w:r>
          </w:p>
        </w:tc>
      </w:tr>
      <w:tr w:rsidR="000A3DAF" w14:paraId="0129AB77" w14:textId="77777777" w:rsidTr="000A3DAF">
        <w:tc>
          <w:tcPr>
            <w:tcW w:w="6043"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1CA879C1" w14:textId="77777777" w:rsidR="000A3DAF" w:rsidRDefault="000A3DAF" w:rsidP="001924E3">
            <w:pPr>
              <w:spacing w:before="40" w:after="40"/>
            </w:pPr>
            <w:r>
              <w:rPr>
                <w:rFonts w:ascii="Arial" w:eastAsia="Arial" w:hAnsi="Arial" w:cs="Arial"/>
                <w:sz w:val="20"/>
                <w:szCs w:val="20"/>
              </w:rPr>
              <w:t>Maddi bir karar</w:t>
            </w:r>
          </w:p>
        </w:tc>
        <w:tc>
          <w:tcPr>
            <w:tcW w:w="1400"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06539125" w14:textId="77777777" w:rsidR="000A3DAF" w:rsidRDefault="000A3DAF" w:rsidP="001924E3">
            <w:pPr>
              <w:spacing w:before="40" w:after="40"/>
              <w:jc w:val="center"/>
            </w:pPr>
            <w:r>
              <w:rPr>
                <w:rFonts w:ascii="Arial" w:eastAsia="Arial" w:hAnsi="Arial" w:cs="Arial"/>
                <w:sz w:val="20"/>
                <w:szCs w:val="20"/>
              </w:rPr>
              <w:t>14</w:t>
            </w:r>
          </w:p>
        </w:tc>
        <w:tc>
          <w:tcPr>
            <w:tcW w:w="1583"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4EF3FC7A" w14:textId="77777777" w:rsidR="000A3DAF" w:rsidRDefault="000A3DAF" w:rsidP="001924E3">
            <w:pPr>
              <w:spacing w:before="40" w:after="40"/>
              <w:jc w:val="center"/>
            </w:pPr>
            <w:r>
              <w:rPr>
                <w:rFonts w:ascii="Arial" w:eastAsia="Arial" w:hAnsi="Arial" w:cs="Arial"/>
                <w:sz w:val="20"/>
                <w:szCs w:val="20"/>
              </w:rPr>
              <w:t>16.5</w:t>
            </w:r>
          </w:p>
        </w:tc>
      </w:tr>
      <w:tr w:rsidR="000A3DAF" w14:paraId="1D27801A" w14:textId="77777777" w:rsidTr="000A3DAF">
        <w:tc>
          <w:tcPr>
            <w:tcW w:w="6043"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36A3B139" w14:textId="77777777" w:rsidR="000A3DAF" w:rsidRDefault="000A3DAF" w:rsidP="001924E3">
            <w:pPr>
              <w:spacing w:before="40" w:after="40"/>
            </w:pPr>
            <w:r>
              <w:rPr>
                <w:rFonts w:ascii="Arial" w:eastAsia="Arial" w:hAnsi="Arial" w:cs="Arial"/>
                <w:sz w:val="20"/>
                <w:szCs w:val="20"/>
              </w:rPr>
              <w:t>Kişisel/ailevi bir karar</w:t>
            </w:r>
          </w:p>
        </w:tc>
        <w:tc>
          <w:tcPr>
            <w:tcW w:w="1400"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40D2AC01" w14:textId="77777777" w:rsidR="000A3DAF" w:rsidRDefault="000A3DAF" w:rsidP="001924E3">
            <w:pPr>
              <w:spacing w:before="40" w:after="40"/>
              <w:jc w:val="center"/>
            </w:pPr>
            <w:r>
              <w:rPr>
                <w:rFonts w:ascii="Arial" w:eastAsia="Arial" w:hAnsi="Arial" w:cs="Arial"/>
                <w:sz w:val="20"/>
                <w:szCs w:val="20"/>
              </w:rPr>
              <w:t>11</w:t>
            </w:r>
          </w:p>
        </w:tc>
        <w:tc>
          <w:tcPr>
            <w:tcW w:w="1583"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6D1D6E90" w14:textId="77777777" w:rsidR="000A3DAF" w:rsidRDefault="000A3DAF" w:rsidP="001924E3">
            <w:pPr>
              <w:spacing w:before="40" w:after="40"/>
              <w:jc w:val="center"/>
            </w:pPr>
            <w:r>
              <w:rPr>
                <w:rFonts w:ascii="Arial" w:eastAsia="Arial" w:hAnsi="Arial" w:cs="Arial"/>
                <w:sz w:val="20"/>
                <w:szCs w:val="20"/>
              </w:rPr>
              <w:t>12.9</w:t>
            </w:r>
          </w:p>
        </w:tc>
      </w:tr>
      <w:tr w:rsidR="000A3DAF" w14:paraId="2F829040" w14:textId="77777777" w:rsidTr="000A3DAF">
        <w:tc>
          <w:tcPr>
            <w:tcW w:w="6043"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0F6A2D9B" w14:textId="77777777" w:rsidR="000A3DAF" w:rsidRDefault="000A3DAF" w:rsidP="001924E3">
            <w:pPr>
              <w:spacing w:before="40" w:after="40"/>
            </w:pPr>
            <w:r>
              <w:rPr>
                <w:rFonts w:ascii="Arial" w:eastAsia="Arial" w:hAnsi="Arial" w:cs="Arial"/>
                <w:sz w:val="20"/>
                <w:szCs w:val="20"/>
              </w:rPr>
              <w:t>Akademik bir karar</w:t>
            </w:r>
          </w:p>
        </w:tc>
        <w:tc>
          <w:tcPr>
            <w:tcW w:w="1400"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776443B6" w14:textId="77777777" w:rsidR="000A3DAF" w:rsidRDefault="000A3DAF" w:rsidP="001924E3">
            <w:pPr>
              <w:spacing w:before="40" w:after="40"/>
              <w:jc w:val="center"/>
            </w:pPr>
            <w:r>
              <w:rPr>
                <w:rFonts w:ascii="Arial" w:eastAsia="Arial" w:hAnsi="Arial" w:cs="Arial"/>
                <w:sz w:val="20"/>
                <w:szCs w:val="20"/>
              </w:rPr>
              <w:t>9</w:t>
            </w:r>
          </w:p>
        </w:tc>
        <w:tc>
          <w:tcPr>
            <w:tcW w:w="1583"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5C8683FE" w14:textId="77777777" w:rsidR="000A3DAF" w:rsidRDefault="000A3DAF" w:rsidP="001924E3">
            <w:pPr>
              <w:spacing w:before="40" w:after="40"/>
              <w:jc w:val="center"/>
            </w:pPr>
            <w:r>
              <w:rPr>
                <w:rFonts w:ascii="Arial" w:eastAsia="Arial" w:hAnsi="Arial" w:cs="Arial"/>
                <w:sz w:val="20"/>
                <w:szCs w:val="20"/>
              </w:rPr>
              <w:t>10.6</w:t>
            </w:r>
          </w:p>
        </w:tc>
      </w:tr>
      <w:tr w:rsidR="000A3DAF" w14:paraId="10DC52EA" w14:textId="77777777" w:rsidTr="000A3DAF">
        <w:tc>
          <w:tcPr>
            <w:tcW w:w="6043"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3EE4AD15" w14:textId="77777777" w:rsidR="000A3DAF" w:rsidRDefault="000A3DAF" w:rsidP="001924E3">
            <w:pPr>
              <w:spacing w:before="40" w:after="40"/>
            </w:pPr>
            <w:r>
              <w:rPr>
                <w:rFonts w:ascii="Arial" w:eastAsia="Arial" w:hAnsi="Arial" w:cs="Arial"/>
                <w:sz w:val="20"/>
                <w:szCs w:val="20"/>
              </w:rPr>
              <w:t>Motivasyon eksikliği</w:t>
            </w:r>
          </w:p>
        </w:tc>
        <w:tc>
          <w:tcPr>
            <w:tcW w:w="1400"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65D0E38E" w14:textId="77777777" w:rsidR="000A3DAF" w:rsidRDefault="000A3DAF" w:rsidP="001924E3">
            <w:pPr>
              <w:spacing w:before="40" w:after="40"/>
              <w:jc w:val="center"/>
            </w:pPr>
            <w:r>
              <w:rPr>
                <w:rFonts w:ascii="Arial" w:eastAsia="Arial" w:hAnsi="Arial" w:cs="Arial"/>
                <w:sz w:val="20"/>
                <w:szCs w:val="20"/>
              </w:rPr>
              <w:t>8</w:t>
            </w:r>
          </w:p>
        </w:tc>
        <w:tc>
          <w:tcPr>
            <w:tcW w:w="1583"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19B6B221" w14:textId="77777777" w:rsidR="000A3DAF" w:rsidRDefault="000A3DAF" w:rsidP="001924E3">
            <w:pPr>
              <w:spacing w:before="40" w:after="40"/>
              <w:jc w:val="center"/>
            </w:pPr>
            <w:r>
              <w:rPr>
                <w:rFonts w:ascii="Arial" w:eastAsia="Arial" w:hAnsi="Arial" w:cs="Arial"/>
                <w:sz w:val="20"/>
                <w:szCs w:val="20"/>
              </w:rPr>
              <w:t>9.4</w:t>
            </w:r>
          </w:p>
        </w:tc>
      </w:tr>
      <w:tr w:rsidR="000A3DAF" w14:paraId="0B73A2B3" w14:textId="77777777" w:rsidTr="000A3DAF">
        <w:tc>
          <w:tcPr>
            <w:tcW w:w="6043"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6F6593F3" w14:textId="77777777" w:rsidR="000A3DAF" w:rsidRDefault="000A3DAF" w:rsidP="001924E3">
            <w:pPr>
              <w:spacing w:before="40" w:after="40"/>
            </w:pPr>
            <w:r>
              <w:rPr>
                <w:rFonts w:ascii="Arial" w:eastAsia="Arial" w:hAnsi="Arial" w:cs="Arial"/>
                <w:sz w:val="20"/>
                <w:szCs w:val="20"/>
              </w:rPr>
              <w:t>Diğer</w:t>
            </w:r>
          </w:p>
        </w:tc>
        <w:tc>
          <w:tcPr>
            <w:tcW w:w="1400"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26E9D348" w14:textId="77777777" w:rsidR="000A3DAF" w:rsidRDefault="000A3DAF" w:rsidP="001924E3">
            <w:pPr>
              <w:spacing w:before="40" w:after="40"/>
              <w:jc w:val="center"/>
            </w:pPr>
            <w:r>
              <w:rPr>
                <w:rFonts w:ascii="Arial" w:eastAsia="Arial" w:hAnsi="Arial" w:cs="Arial"/>
                <w:sz w:val="20"/>
                <w:szCs w:val="20"/>
              </w:rPr>
              <w:t>2</w:t>
            </w:r>
          </w:p>
        </w:tc>
        <w:tc>
          <w:tcPr>
            <w:tcW w:w="1583"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735B2A53" w14:textId="77777777" w:rsidR="000A3DAF" w:rsidRDefault="000A3DAF" w:rsidP="001924E3">
            <w:pPr>
              <w:spacing w:before="40" w:after="40"/>
              <w:jc w:val="center"/>
            </w:pPr>
            <w:r>
              <w:rPr>
                <w:rFonts w:ascii="Arial" w:eastAsia="Arial" w:hAnsi="Arial" w:cs="Arial"/>
                <w:sz w:val="20"/>
                <w:szCs w:val="20"/>
              </w:rPr>
              <w:t>2.4</w:t>
            </w:r>
          </w:p>
        </w:tc>
      </w:tr>
    </w:tbl>
    <w:p w14:paraId="4350A4F5" w14:textId="77777777" w:rsidR="000A3DAF" w:rsidRPr="000A3DAF" w:rsidRDefault="000A3DAF" w:rsidP="000A3DAF">
      <w:pPr>
        <w:rPr>
          <w:color w:val="000000" w:themeColor="text1"/>
        </w:rPr>
      </w:pPr>
      <w:r w:rsidRPr="000A3DAF">
        <w:rPr>
          <w:color w:val="000000" w:themeColor="text1"/>
        </w:rPr>
        <w:t>Katılmama kararının niteliği sorulduğunda da yabancı dil yetersizliği (%48,2) en baskın faktör olarak ortaya çıkmaktadır. Bu bulgu, çoklu seçim sorusundaki sonuçlarla tutarlılık göstermekte ve yabancı dil engelinin hem bir neden hem de nihai karar verici faktör olduğunu teyit etmektedir. Maddi nedenler (%16,5), kişisel/ailevi nedenler (%12,9), akademik kaygılar (%10,6) ve motivasyon eksikliği (%9,4) ise diğer belirleyici faktörler olarak sıralanmaktadır.</w:t>
      </w:r>
    </w:p>
    <w:p w14:paraId="07D51E54" w14:textId="050009D4" w:rsidR="000A3DAF" w:rsidRPr="000A3DAF" w:rsidRDefault="000A3DAF" w:rsidP="000A3DAF">
      <w:pPr>
        <w:pStyle w:val="Balk1"/>
        <w:numPr>
          <w:ilvl w:val="0"/>
          <w:numId w:val="8"/>
        </w:numPr>
      </w:pPr>
      <w:r w:rsidRPr="000A3DAF">
        <w:t>Açık Uçlu Sorunun Değerlendirilmesi</w:t>
      </w:r>
    </w:p>
    <w:p w14:paraId="15F92F65" w14:textId="77777777" w:rsidR="000A3DAF" w:rsidRPr="000A3DAF" w:rsidRDefault="000A3DAF" w:rsidP="000A3DAF">
      <w:pPr>
        <w:rPr>
          <w:color w:val="000000" w:themeColor="text1"/>
        </w:rPr>
      </w:pPr>
      <w:r w:rsidRPr="000A3DAF">
        <w:rPr>
          <w:color w:val="000000" w:themeColor="text1"/>
        </w:rPr>
        <w:t>Anketin açık uçlu sorusunda katılımcılardan, Erasmus süreci ile ilgili üniversite ve bölümden beklentilerini belirtmeleri istenmiştir. 85 katılımcıdan 18'i bu soruya yanıt vermiş; ancak bunların bir kısmı "yok" veya benzeri ifadeler kullanmıştır. Gerçek öneri içeren yanıtların içerik analizi sonucunda aşağıdaki temalar öne çıkmaktadır:</w:t>
      </w:r>
    </w:p>
    <w:p w14:paraId="139BF5FC" w14:textId="77777777" w:rsidR="000A3DAF" w:rsidRPr="000A3DAF" w:rsidRDefault="000A3DAF" w:rsidP="000A3DAF">
      <w:pPr>
        <w:rPr>
          <w:b/>
          <w:bCs/>
          <w:color w:val="000000" w:themeColor="text1"/>
        </w:rPr>
      </w:pPr>
      <w:r w:rsidRPr="000A3DAF">
        <w:rPr>
          <w:b/>
          <w:bCs/>
          <w:color w:val="000000" w:themeColor="text1"/>
        </w:rPr>
        <w:lastRenderedPageBreak/>
        <w:t>Yabancı Dil Desteği ve Eğitimi</w:t>
      </w:r>
    </w:p>
    <w:p w14:paraId="6138722D" w14:textId="77777777" w:rsidR="000A3DAF" w:rsidRPr="000A3DAF" w:rsidRDefault="000A3DAF" w:rsidP="000A3DAF">
      <w:pPr>
        <w:rPr>
          <w:color w:val="000000" w:themeColor="text1"/>
        </w:rPr>
      </w:pPr>
      <w:r w:rsidRPr="000A3DAF">
        <w:rPr>
          <w:color w:val="000000" w:themeColor="text1"/>
        </w:rPr>
        <w:t>Açık uçlu yanıtlarda en sık vurgulanan tema, yabancı dil eğitiminin güçlendirilmesidir. Katılımcılar, İngilizce derslerinin daha kapsamlı ve ileri düzeyde işlenmesini, yabancı dil geliştirici etkinliklerin düzenlenmesini ve dil öğreniminin teşvik edilmesini talep etmiştir. Bu talepler, nicel verilerde ortaya çıkan yabancı dil yetersizliği bulgusunu doğrudan desteklemekte ve yabancı dil engelinin öğrenciler tarafından ne denli derinden hissedildiğini açıkça ortaya koymaktadır.</w:t>
      </w:r>
    </w:p>
    <w:p w14:paraId="4D8119F0" w14:textId="77777777" w:rsidR="000A3DAF" w:rsidRPr="000A3DAF" w:rsidRDefault="000A3DAF" w:rsidP="000A3DAF">
      <w:pPr>
        <w:rPr>
          <w:b/>
          <w:bCs/>
          <w:color w:val="000000" w:themeColor="text1"/>
        </w:rPr>
      </w:pPr>
      <w:r w:rsidRPr="000A3DAF">
        <w:rPr>
          <w:b/>
          <w:bCs/>
          <w:color w:val="000000" w:themeColor="text1"/>
        </w:rPr>
        <w:t>Bilgilendirme ve Tanıtım Faaliyetleri</w:t>
      </w:r>
    </w:p>
    <w:p w14:paraId="6CCCF41C" w14:textId="77777777" w:rsidR="000A3DAF" w:rsidRPr="000A3DAF" w:rsidRDefault="000A3DAF" w:rsidP="000A3DAF">
      <w:pPr>
        <w:rPr>
          <w:color w:val="000000" w:themeColor="text1"/>
        </w:rPr>
      </w:pPr>
      <w:r w:rsidRPr="000A3DAF">
        <w:rPr>
          <w:color w:val="000000" w:themeColor="text1"/>
        </w:rPr>
        <w:t>Öğrencilerin önemli bir kısmı, Erasmus süreci hakkında yeterli bilgi ve duyuru alamadıklarını belirtmiştir. Erasmus programını tanıtıcı, daha kapsamlı bilgilendirme etkinlikleri düzenlenmesi talep edilmiştir. Bir katılımcı, bölüme yönelik özel bir Erasmus bilgilendirme konuşması yapılmasını önerirken, bir diğeri yeterli duyuru ve bilgi alamadıklarını ifade etmiştir. Bu talepler, nicel verilerdeki "yeterli bilgiye sahip değilim" (%41,2) bulgusunu doğrulamaktadır.</w:t>
      </w:r>
    </w:p>
    <w:p w14:paraId="0DBDD3E8" w14:textId="77777777" w:rsidR="000A3DAF" w:rsidRPr="000A3DAF" w:rsidRDefault="000A3DAF" w:rsidP="000A3DAF">
      <w:pPr>
        <w:rPr>
          <w:b/>
          <w:bCs/>
          <w:color w:val="000000" w:themeColor="text1"/>
        </w:rPr>
      </w:pPr>
      <w:r w:rsidRPr="000A3DAF">
        <w:rPr>
          <w:b/>
          <w:bCs/>
          <w:color w:val="000000" w:themeColor="text1"/>
        </w:rPr>
        <w:t>Hibe ve Mali Süreç Şeffaflığı</w:t>
      </w:r>
    </w:p>
    <w:p w14:paraId="467716F7" w14:textId="77777777" w:rsidR="000A3DAF" w:rsidRPr="000A3DAF" w:rsidRDefault="000A3DAF" w:rsidP="000A3DAF">
      <w:pPr>
        <w:rPr>
          <w:color w:val="000000" w:themeColor="text1"/>
        </w:rPr>
      </w:pPr>
      <w:r w:rsidRPr="000A3DAF">
        <w:rPr>
          <w:color w:val="000000" w:themeColor="text1"/>
        </w:rPr>
        <w:t>Hibe miktarlarının ve ödeme takvimlerinin netleştirilmesi konusunda üniversitenin daha şeffaf bir koordinasyon kurması yönünde talepler de mevcuttur. Bu beklenti, maddi yetersizlik engeliyle (%30,6) doğrudan ilişkili olup, mali belirsizliğin öğrencilerin karar sürecini olumsuz etkilediğini göstermektedir.</w:t>
      </w:r>
    </w:p>
    <w:p w14:paraId="61B8D799" w14:textId="77777777" w:rsidR="000A3DAF" w:rsidRPr="000A3DAF" w:rsidRDefault="000A3DAF" w:rsidP="000A3DAF">
      <w:pPr>
        <w:rPr>
          <w:b/>
          <w:bCs/>
          <w:color w:val="000000" w:themeColor="text1"/>
        </w:rPr>
      </w:pPr>
      <w:r w:rsidRPr="000A3DAF">
        <w:rPr>
          <w:b/>
          <w:bCs/>
          <w:color w:val="000000" w:themeColor="text1"/>
        </w:rPr>
        <w:t>Kontenjan ve Erişim</w:t>
      </w:r>
    </w:p>
    <w:p w14:paraId="0B33E892" w14:textId="77777777" w:rsidR="000A3DAF" w:rsidRPr="000A3DAF" w:rsidRDefault="000A3DAF" w:rsidP="000A3DAF">
      <w:pPr>
        <w:rPr>
          <w:color w:val="000000" w:themeColor="text1"/>
        </w:rPr>
      </w:pPr>
      <w:r w:rsidRPr="000A3DAF">
        <w:rPr>
          <w:color w:val="000000" w:themeColor="text1"/>
        </w:rPr>
        <w:t>Erasmus kontenjanlarının artırılması ve programa erişimin kolaylaştırılması da dile getirilen talepler arasında yer almaktadır. Bu durum, programa ilgi duyan ancak kontenjan sınırlılığı nedeniyle başvuramayan veya cesareti kırılan öğrencilerin varlığına işaret etmektedir.</w:t>
      </w:r>
    </w:p>
    <w:p w14:paraId="616DD04D" w14:textId="05F06526" w:rsidR="000A3DAF" w:rsidRPr="000A3DAF" w:rsidRDefault="000A3DAF" w:rsidP="000A3DAF">
      <w:pPr>
        <w:pStyle w:val="Balk1"/>
        <w:numPr>
          <w:ilvl w:val="0"/>
          <w:numId w:val="8"/>
        </w:numPr>
      </w:pPr>
      <w:r w:rsidRPr="000A3DAF">
        <w:t>Sonuç ve Değerlendirme</w:t>
      </w:r>
    </w:p>
    <w:p w14:paraId="4CDCFAB4" w14:textId="77777777" w:rsidR="000A3DAF" w:rsidRPr="000A3DAF" w:rsidRDefault="000A3DAF" w:rsidP="000A3DAF">
      <w:pPr>
        <w:rPr>
          <w:color w:val="000000" w:themeColor="text1"/>
        </w:rPr>
      </w:pPr>
      <w:r w:rsidRPr="000A3DAF">
        <w:rPr>
          <w:color w:val="000000" w:themeColor="text1"/>
        </w:rPr>
        <w:t>Karadeniz Teknik Üniversitesi İktisadi ve İdari Bilimler Fakültesi Çalışma Ekonomisi ve Endüstri İlişkileri Bölümü öğrencilerine 2025-2026 eğitim-öğretim yılı bahar döneminde uygulanan Erasmus katılım anketi sonuçları, öğrencilerin uluslararası değişim programlarına yönelik tutumları ve bu katılımın önündeki engeller hakkında kapsamlı bir değerlendirme yapılmasını mümkün kılmaktadır.</w:t>
      </w:r>
    </w:p>
    <w:p w14:paraId="548AB856" w14:textId="77777777" w:rsidR="000A3DAF" w:rsidRPr="000A3DAF" w:rsidRDefault="000A3DAF" w:rsidP="000A3DAF">
      <w:pPr>
        <w:rPr>
          <w:b/>
          <w:bCs/>
          <w:color w:val="000000" w:themeColor="text1"/>
        </w:rPr>
      </w:pPr>
      <w:r w:rsidRPr="000A3DAF">
        <w:rPr>
          <w:b/>
          <w:bCs/>
          <w:color w:val="000000" w:themeColor="text1"/>
        </w:rPr>
        <w:t>Anket sonuçlarına göre öne çıkan tespitler şu şekilde özetlenebilecektir:</w:t>
      </w:r>
    </w:p>
    <w:p w14:paraId="58D55151" w14:textId="77777777" w:rsidR="000A3DAF" w:rsidRPr="000A3DAF" w:rsidRDefault="000A3DAF" w:rsidP="000A3DAF">
      <w:pPr>
        <w:rPr>
          <w:color w:val="000000" w:themeColor="text1"/>
        </w:rPr>
      </w:pPr>
      <w:r w:rsidRPr="000A3DAF">
        <w:rPr>
          <w:color w:val="000000" w:themeColor="text1"/>
        </w:rPr>
        <w:t>Öğrencilerin büyük çoğunluğu (%71,7) Erasmus programına ilgi duymakta veya en azından değerlendirmektedir; ancak fiili başvuru oranı yalnızca %5,9 düzeyinde kalmaktadır. İlgi ile eylem arasındaki bu belirgin uçurum, programın cazip görüldüğünü ancak yapısal ve bireysel engellerin katılımı ciddi ölçüde sınırladığını göstermektedir.</w:t>
      </w:r>
    </w:p>
    <w:p w14:paraId="0A9D7176" w14:textId="77777777" w:rsidR="000A3DAF" w:rsidRPr="000A3DAF" w:rsidRDefault="000A3DAF" w:rsidP="000A3DAF">
      <w:pPr>
        <w:rPr>
          <w:color w:val="000000" w:themeColor="text1"/>
        </w:rPr>
      </w:pPr>
      <w:r w:rsidRPr="000A3DAF">
        <w:rPr>
          <w:color w:val="000000" w:themeColor="text1"/>
        </w:rPr>
        <w:lastRenderedPageBreak/>
        <w:t>Yabancı dil yetersizliği, hem en yaygın katılmama nedeni (%75,3) hem de nihai karar verici faktör (%48,2) olarak açık ara en kritik engeli oluşturmaktadır. Bu bulgu, yabancı dil yeterliliğinin Erasmus katılımının temel belirleyicisi olduğunu tartışmasız biçimde ortaya koymaktadır.</w:t>
      </w:r>
    </w:p>
    <w:p w14:paraId="551677F5" w14:textId="77777777" w:rsidR="000A3DAF" w:rsidRPr="000A3DAF" w:rsidRDefault="000A3DAF" w:rsidP="000A3DAF">
      <w:pPr>
        <w:rPr>
          <w:color w:val="000000" w:themeColor="text1"/>
        </w:rPr>
      </w:pPr>
      <w:r w:rsidRPr="000A3DAF">
        <w:rPr>
          <w:color w:val="000000" w:themeColor="text1"/>
        </w:rPr>
        <w:t>Yeterli bilgiye sahip olmama (%41,2) ikinci en yaygın engel olup, kurumsal bilgilendirme ve tanıtım faaliyetlerinin yetersiz kaldığına işaret etmektedir. Derslerin sayılmaması/dönem uzama kaygısı (%35,3) ve maddi yetersizlik (%30,6) ise akademik ve ekonomik boyutlardaki yapısal engelleri yansıtmaktadır.</w:t>
      </w:r>
    </w:p>
    <w:p w14:paraId="5A04E5C4" w14:textId="77777777" w:rsidR="000A3DAF" w:rsidRPr="000A3DAF" w:rsidRDefault="000A3DAF" w:rsidP="000A3DAF">
      <w:pPr>
        <w:rPr>
          <w:color w:val="000000" w:themeColor="text1"/>
        </w:rPr>
      </w:pPr>
      <w:r w:rsidRPr="000A3DAF">
        <w:rPr>
          <w:color w:val="000000" w:themeColor="text1"/>
        </w:rPr>
        <w:t>4. sınıf öğrencilerinde "hiç düşünmeme" oranının belirgin şekilde yüksek olması, erken sınıflarda başlayan bilgilendirme ve yönlendirme faaliyetlerinin önemini vurgulamaktadır.</w:t>
      </w:r>
    </w:p>
    <w:p w14:paraId="676A2FA3" w14:textId="77777777" w:rsidR="000A3DAF" w:rsidRPr="000A3DAF" w:rsidRDefault="000A3DAF" w:rsidP="000A3DAF">
      <w:pPr>
        <w:rPr>
          <w:b/>
          <w:bCs/>
          <w:color w:val="000000" w:themeColor="text1"/>
        </w:rPr>
      </w:pPr>
      <w:r w:rsidRPr="000A3DAF">
        <w:rPr>
          <w:b/>
          <w:bCs/>
          <w:color w:val="000000" w:themeColor="text1"/>
        </w:rPr>
        <w:t>Tüm bu bulgular değerlendirildiğinde, Erasmus katılımının artırılması için aşağıdaki stratejik adımların atılmasının yerinde olacağı düşünülmektedir:</w:t>
      </w:r>
    </w:p>
    <w:p w14:paraId="711939BE" w14:textId="28A5B7B7" w:rsidR="000A3DAF" w:rsidRPr="000A3DAF" w:rsidRDefault="000A3DAF" w:rsidP="000A3DAF">
      <w:pPr>
        <w:rPr>
          <w:color w:val="000000" w:themeColor="text1"/>
        </w:rPr>
      </w:pPr>
      <w:r w:rsidRPr="000A3DAF">
        <w:rPr>
          <w:color w:val="000000" w:themeColor="text1"/>
        </w:rPr>
        <w:t>Yabancı dil desteğinin güçlendirilmesi en öncelikli adım olarak değerlendirilmektedir. Müfredat dışı dil kursları, konuşma kulüpleri ve tandem programları gibi uygulamalar, öğrencilerin dil yeterliliğini artırabilecek araçlar olarak ele alınabilecektir. Erasmus bilgilendirme faaliyetlerinin yoğunlaştırılması da kritik bir ihtiyaç olarak ortaya çıkmaktadır; özellikle 1. ve 2. sınıf düzeyinde başlayan, Erasmus deneyimi yaşamış mezunların katılımıyla gerçekleştirilecek bilgilendirme seminerleri, programın somutlaştırılmasına katkı sağlayabilecektir. Bunun yanı sıra, ders denklik süreçlerinin şeffaflaştırılması ve hibe miktarlarına ilişkin bilgilendirmenin güçlendirilmesi, akademik ve mali kaygıların azaltılmasına yardımcı olabilecektir.</w:t>
      </w:r>
    </w:p>
    <w:sectPr w:rsidR="000A3DAF" w:rsidRPr="000A3DAF" w:rsidSect="004522F3">
      <w:pgSz w:w="11906" w:h="16838"/>
      <w:pgMar w:top="1417" w:right="1417" w:bottom="1417"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F2AB46" w14:textId="77777777" w:rsidR="006700CB" w:rsidRDefault="006700CB">
      <w:pPr>
        <w:spacing w:before="0" w:after="0" w:line="240" w:lineRule="auto"/>
      </w:pPr>
      <w:r>
        <w:separator/>
      </w:r>
    </w:p>
  </w:endnote>
  <w:endnote w:type="continuationSeparator" w:id="0">
    <w:p w14:paraId="05D622AD" w14:textId="77777777" w:rsidR="006700CB" w:rsidRDefault="006700CB">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432D95" w14:textId="77777777" w:rsidR="005758B1" w:rsidRDefault="005758B1">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8742217"/>
      <w:docPartObj>
        <w:docPartGallery w:val="Page Numbers (Bottom of Page)"/>
        <w:docPartUnique/>
      </w:docPartObj>
    </w:sdtPr>
    <w:sdtContent>
      <w:p w14:paraId="09CFB210" w14:textId="1365F54B" w:rsidR="004522F3" w:rsidRDefault="004522F3">
        <w:pPr>
          <w:pStyle w:val="AltBilgi"/>
          <w:jc w:val="center"/>
        </w:pPr>
        <w:r>
          <w:fldChar w:fldCharType="begin"/>
        </w:r>
        <w:r>
          <w:instrText>PAGE   \* MERGEFORMAT</w:instrText>
        </w:r>
        <w:r>
          <w:fldChar w:fldCharType="separate"/>
        </w:r>
        <w:r>
          <w:t>2</w:t>
        </w:r>
        <w:r>
          <w:fldChar w:fldCharType="end"/>
        </w:r>
      </w:p>
    </w:sdtContent>
  </w:sdt>
  <w:p w14:paraId="45344996" w14:textId="77777777" w:rsidR="007D41D5" w:rsidRDefault="007D41D5" w:rsidP="00D5746A">
    <w:pPr>
      <w:pStyle w:val="AltBilgi"/>
      <w:ind w:firstLine="0"/>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6B055C" w14:textId="77777777" w:rsidR="005758B1" w:rsidRDefault="005758B1">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BA02F8" w14:textId="77777777" w:rsidR="006700CB" w:rsidRDefault="006700CB">
      <w:pPr>
        <w:spacing w:before="0" w:after="0" w:line="240" w:lineRule="auto"/>
      </w:pPr>
      <w:r>
        <w:separator/>
      </w:r>
    </w:p>
  </w:footnote>
  <w:footnote w:type="continuationSeparator" w:id="0">
    <w:p w14:paraId="68E5B109" w14:textId="77777777" w:rsidR="006700CB" w:rsidRDefault="006700CB">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3B014A" w14:textId="77777777" w:rsidR="005758B1" w:rsidRDefault="005758B1">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45AD6F" w14:textId="77777777" w:rsidR="005758B1" w:rsidRDefault="005758B1">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CACCE2" w14:textId="77777777" w:rsidR="005758B1" w:rsidRDefault="005758B1">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AB5040"/>
    <w:multiLevelType w:val="multilevel"/>
    <w:tmpl w:val="FF82C3B2"/>
    <w:lvl w:ilvl="0">
      <w:start w:val="1"/>
      <w:numFmt w:val="decimal"/>
      <w:lvlText w:val="%1."/>
      <w:lvlJc w:val="left"/>
      <w:pPr>
        <w:ind w:left="1211" w:hanging="360"/>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2291" w:hanging="144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1" w15:restartNumberingAfterBreak="0">
    <w:nsid w:val="54D00568"/>
    <w:multiLevelType w:val="hybridMultilevel"/>
    <w:tmpl w:val="C2C8F46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561A5A2A"/>
    <w:multiLevelType w:val="hybridMultilevel"/>
    <w:tmpl w:val="62248C46"/>
    <w:lvl w:ilvl="0" w:tplc="F77A866C">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5A3C6667"/>
    <w:multiLevelType w:val="hybridMultilevel"/>
    <w:tmpl w:val="E5B6197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6CBC2DF9"/>
    <w:multiLevelType w:val="hybridMultilevel"/>
    <w:tmpl w:val="40186C00"/>
    <w:lvl w:ilvl="0" w:tplc="CD666774">
      <w:start w:val="3"/>
      <w:numFmt w:val="decimal"/>
      <w:lvlText w:val="%1."/>
      <w:lvlJc w:val="left"/>
      <w:pPr>
        <w:ind w:left="1571" w:hanging="360"/>
      </w:pPr>
      <w:rPr>
        <w:rFonts w:hint="default"/>
      </w:rPr>
    </w:lvl>
    <w:lvl w:ilvl="1" w:tplc="041F0019" w:tentative="1">
      <w:start w:val="1"/>
      <w:numFmt w:val="lowerLetter"/>
      <w:lvlText w:val="%2."/>
      <w:lvlJc w:val="left"/>
      <w:pPr>
        <w:ind w:left="2291" w:hanging="360"/>
      </w:pPr>
    </w:lvl>
    <w:lvl w:ilvl="2" w:tplc="041F001B" w:tentative="1">
      <w:start w:val="1"/>
      <w:numFmt w:val="lowerRoman"/>
      <w:lvlText w:val="%3."/>
      <w:lvlJc w:val="right"/>
      <w:pPr>
        <w:ind w:left="3011" w:hanging="180"/>
      </w:pPr>
    </w:lvl>
    <w:lvl w:ilvl="3" w:tplc="041F000F" w:tentative="1">
      <w:start w:val="1"/>
      <w:numFmt w:val="decimal"/>
      <w:lvlText w:val="%4."/>
      <w:lvlJc w:val="left"/>
      <w:pPr>
        <w:ind w:left="3731" w:hanging="360"/>
      </w:pPr>
    </w:lvl>
    <w:lvl w:ilvl="4" w:tplc="041F0019" w:tentative="1">
      <w:start w:val="1"/>
      <w:numFmt w:val="lowerLetter"/>
      <w:lvlText w:val="%5."/>
      <w:lvlJc w:val="left"/>
      <w:pPr>
        <w:ind w:left="4451" w:hanging="360"/>
      </w:pPr>
    </w:lvl>
    <w:lvl w:ilvl="5" w:tplc="041F001B" w:tentative="1">
      <w:start w:val="1"/>
      <w:numFmt w:val="lowerRoman"/>
      <w:lvlText w:val="%6."/>
      <w:lvlJc w:val="right"/>
      <w:pPr>
        <w:ind w:left="5171" w:hanging="180"/>
      </w:pPr>
    </w:lvl>
    <w:lvl w:ilvl="6" w:tplc="041F000F" w:tentative="1">
      <w:start w:val="1"/>
      <w:numFmt w:val="decimal"/>
      <w:lvlText w:val="%7."/>
      <w:lvlJc w:val="left"/>
      <w:pPr>
        <w:ind w:left="5891" w:hanging="360"/>
      </w:pPr>
    </w:lvl>
    <w:lvl w:ilvl="7" w:tplc="041F0019" w:tentative="1">
      <w:start w:val="1"/>
      <w:numFmt w:val="lowerLetter"/>
      <w:lvlText w:val="%8."/>
      <w:lvlJc w:val="left"/>
      <w:pPr>
        <w:ind w:left="6611" w:hanging="360"/>
      </w:pPr>
    </w:lvl>
    <w:lvl w:ilvl="8" w:tplc="041F001B" w:tentative="1">
      <w:start w:val="1"/>
      <w:numFmt w:val="lowerRoman"/>
      <w:lvlText w:val="%9."/>
      <w:lvlJc w:val="right"/>
      <w:pPr>
        <w:ind w:left="7331" w:hanging="180"/>
      </w:pPr>
    </w:lvl>
  </w:abstractNum>
  <w:abstractNum w:abstractNumId="5" w15:restartNumberingAfterBreak="0">
    <w:nsid w:val="6F5302D6"/>
    <w:multiLevelType w:val="hybridMultilevel"/>
    <w:tmpl w:val="7A4ADD4A"/>
    <w:lvl w:ilvl="0" w:tplc="E4B4826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7B275CC7"/>
    <w:multiLevelType w:val="hybridMultilevel"/>
    <w:tmpl w:val="B0C29D64"/>
    <w:lvl w:ilvl="0" w:tplc="041F000F">
      <w:start w:val="4"/>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821196380">
    <w:abstractNumId w:val="0"/>
  </w:num>
  <w:num w:numId="2" w16cid:durableId="2133866043">
    <w:abstractNumId w:val="4"/>
  </w:num>
  <w:num w:numId="3" w16cid:durableId="1569850339">
    <w:abstractNumId w:val="1"/>
  </w:num>
  <w:num w:numId="4" w16cid:durableId="200943365">
    <w:abstractNumId w:val="2"/>
  </w:num>
  <w:num w:numId="5" w16cid:durableId="1583180230">
    <w:abstractNumId w:val="2"/>
    <w:lvlOverride w:ilvl="0">
      <w:startOverride w:val="3"/>
    </w:lvlOverride>
  </w:num>
  <w:num w:numId="6" w16cid:durableId="191966945">
    <w:abstractNumId w:val="5"/>
  </w:num>
  <w:num w:numId="7" w16cid:durableId="619343485">
    <w:abstractNumId w:val="3"/>
  </w:num>
  <w:num w:numId="8" w16cid:durableId="33203158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223F"/>
    <w:rsid w:val="0003559D"/>
    <w:rsid w:val="000376B6"/>
    <w:rsid w:val="000A3DAF"/>
    <w:rsid w:val="000C29EE"/>
    <w:rsid w:val="000D7C77"/>
    <w:rsid w:val="000E416D"/>
    <w:rsid w:val="00103DD9"/>
    <w:rsid w:val="00175BF7"/>
    <w:rsid w:val="001770CA"/>
    <w:rsid w:val="001961EC"/>
    <w:rsid w:val="0020502B"/>
    <w:rsid w:val="0021603E"/>
    <w:rsid w:val="00234BE9"/>
    <w:rsid w:val="0025203A"/>
    <w:rsid w:val="002A2ACB"/>
    <w:rsid w:val="002A536F"/>
    <w:rsid w:val="003178E0"/>
    <w:rsid w:val="00346F5D"/>
    <w:rsid w:val="003766B2"/>
    <w:rsid w:val="00387754"/>
    <w:rsid w:val="003C4AF9"/>
    <w:rsid w:val="004522F3"/>
    <w:rsid w:val="004570D9"/>
    <w:rsid w:val="004C2EAF"/>
    <w:rsid w:val="004E718A"/>
    <w:rsid w:val="00522444"/>
    <w:rsid w:val="005758B1"/>
    <w:rsid w:val="005D59E7"/>
    <w:rsid w:val="005F6314"/>
    <w:rsid w:val="005F7D4E"/>
    <w:rsid w:val="00617374"/>
    <w:rsid w:val="0062319C"/>
    <w:rsid w:val="00632D4B"/>
    <w:rsid w:val="00662A1B"/>
    <w:rsid w:val="006700CB"/>
    <w:rsid w:val="006B3AFB"/>
    <w:rsid w:val="006B75D7"/>
    <w:rsid w:val="006F2A7F"/>
    <w:rsid w:val="006F3084"/>
    <w:rsid w:val="00735155"/>
    <w:rsid w:val="00740169"/>
    <w:rsid w:val="00791E14"/>
    <w:rsid w:val="007D41D5"/>
    <w:rsid w:val="00816EEC"/>
    <w:rsid w:val="008352E3"/>
    <w:rsid w:val="0084674E"/>
    <w:rsid w:val="00860175"/>
    <w:rsid w:val="0088223F"/>
    <w:rsid w:val="008F5F8E"/>
    <w:rsid w:val="00993EF0"/>
    <w:rsid w:val="00A476DE"/>
    <w:rsid w:val="00AB17D7"/>
    <w:rsid w:val="00AE2722"/>
    <w:rsid w:val="00AF2E88"/>
    <w:rsid w:val="00B01805"/>
    <w:rsid w:val="00B215A5"/>
    <w:rsid w:val="00B35823"/>
    <w:rsid w:val="00B47001"/>
    <w:rsid w:val="00BA4352"/>
    <w:rsid w:val="00BF7857"/>
    <w:rsid w:val="00C3394E"/>
    <w:rsid w:val="00C67744"/>
    <w:rsid w:val="00C70E31"/>
    <w:rsid w:val="00C801AB"/>
    <w:rsid w:val="00C878C7"/>
    <w:rsid w:val="00CB04A4"/>
    <w:rsid w:val="00CF4D7C"/>
    <w:rsid w:val="00D0678E"/>
    <w:rsid w:val="00D61046"/>
    <w:rsid w:val="00DC35E5"/>
    <w:rsid w:val="00DF06F5"/>
    <w:rsid w:val="00E206A6"/>
    <w:rsid w:val="00E3292C"/>
    <w:rsid w:val="00E345A0"/>
    <w:rsid w:val="00E57E52"/>
    <w:rsid w:val="00E70CB3"/>
    <w:rsid w:val="00EA7BD5"/>
    <w:rsid w:val="00EB0CCE"/>
    <w:rsid w:val="00EE30E9"/>
    <w:rsid w:val="00EF747A"/>
    <w:rsid w:val="00F4065B"/>
    <w:rsid w:val="00F67F55"/>
    <w:rsid w:val="00F966B1"/>
    <w:rsid w:val="00FA4DB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DD642D"/>
  <w15:docId w15:val="{479DC98F-DA86-FA48-B5E7-32C3A54391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718A"/>
    <w:pPr>
      <w:spacing w:before="120" w:after="120" w:line="360" w:lineRule="auto"/>
      <w:ind w:firstLine="851"/>
      <w:jc w:val="both"/>
    </w:pPr>
    <w:rPr>
      <w:rFonts w:ascii="Times New Roman" w:eastAsia="Calibri" w:hAnsi="Times New Roman" w:cs="Times New Roman"/>
    </w:rPr>
  </w:style>
  <w:style w:type="paragraph" w:styleId="Balk1">
    <w:name w:val="heading 1"/>
    <w:basedOn w:val="Normal"/>
    <w:next w:val="Normal"/>
    <w:link w:val="Balk1Char"/>
    <w:autoRedefine/>
    <w:uiPriority w:val="9"/>
    <w:qFormat/>
    <w:rsid w:val="00C3394E"/>
    <w:pPr>
      <w:keepNext/>
      <w:ind w:left="357" w:firstLine="680"/>
      <w:outlineLvl w:val="0"/>
    </w:pPr>
    <w:rPr>
      <w:rFonts w:eastAsia="Times New Roman"/>
      <w:b/>
      <w:bCs/>
      <w:kern w:val="32"/>
      <w:sz w:val="24"/>
      <w:szCs w:val="24"/>
    </w:rPr>
  </w:style>
  <w:style w:type="paragraph" w:styleId="Balk2">
    <w:name w:val="heading 2"/>
    <w:basedOn w:val="Normal"/>
    <w:next w:val="AralkYok"/>
    <w:link w:val="Balk2Char"/>
    <w:autoRedefine/>
    <w:uiPriority w:val="9"/>
    <w:unhideWhenUsed/>
    <w:qFormat/>
    <w:rsid w:val="00CF4D7C"/>
    <w:pPr>
      <w:keepNext/>
      <w:spacing w:before="300" w:after="300" w:line="240" w:lineRule="auto"/>
      <w:ind w:left="1571" w:hanging="720"/>
      <w:jc w:val="center"/>
      <w:outlineLvl w:val="1"/>
    </w:pPr>
    <w:rPr>
      <w:bCs/>
      <w:iCs/>
      <w:spacing w:val="3"/>
      <w:sz w:val="24"/>
      <w:szCs w:val="28"/>
      <w:shd w:val="clear" w:color="auto" w:fill="FFFFFF"/>
      <w:lang w:bidi="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C3394E"/>
    <w:rPr>
      <w:rFonts w:ascii="Times New Roman" w:eastAsia="Times New Roman" w:hAnsi="Times New Roman" w:cs="Times New Roman"/>
      <w:b/>
      <w:bCs/>
      <w:kern w:val="32"/>
      <w:sz w:val="24"/>
      <w:szCs w:val="24"/>
    </w:rPr>
  </w:style>
  <w:style w:type="character" w:customStyle="1" w:styleId="Balk2Char">
    <w:name w:val="Başlık 2 Char"/>
    <w:basedOn w:val="VarsaylanParagrafYazTipi"/>
    <w:link w:val="Balk2"/>
    <w:uiPriority w:val="9"/>
    <w:rsid w:val="00CF4D7C"/>
    <w:rPr>
      <w:rFonts w:ascii="Times New Roman" w:eastAsia="Calibri" w:hAnsi="Times New Roman" w:cs="Times New Roman"/>
      <w:bCs/>
      <w:iCs/>
      <w:spacing w:val="3"/>
      <w:sz w:val="24"/>
      <w:szCs w:val="28"/>
      <w:lang w:bidi="tr-TR"/>
    </w:rPr>
  </w:style>
  <w:style w:type="paragraph" w:styleId="AltBilgi">
    <w:name w:val="footer"/>
    <w:basedOn w:val="Normal"/>
    <w:link w:val="AltBilgiChar"/>
    <w:uiPriority w:val="99"/>
    <w:unhideWhenUsed/>
    <w:rsid w:val="0088223F"/>
    <w:pPr>
      <w:tabs>
        <w:tab w:val="center" w:pos="4536"/>
        <w:tab w:val="right" w:pos="9072"/>
      </w:tabs>
    </w:pPr>
  </w:style>
  <w:style w:type="character" w:customStyle="1" w:styleId="AltBilgiChar">
    <w:name w:val="Alt Bilgi Char"/>
    <w:basedOn w:val="VarsaylanParagrafYazTipi"/>
    <w:link w:val="AltBilgi"/>
    <w:uiPriority w:val="99"/>
    <w:rsid w:val="0088223F"/>
    <w:rPr>
      <w:rFonts w:ascii="Times New Roman" w:eastAsia="Calibri" w:hAnsi="Times New Roman" w:cs="Times New Roman"/>
    </w:rPr>
  </w:style>
  <w:style w:type="character" w:styleId="Kpr">
    <w:name w:val="Hyperlink"/>
    <w:uiPriority w:val="99"/>
    <w:unhideWhenUsed/>
    <w:rsid w:val="0088223F"/>
    <w:rPr>
      <w:color w:val="0066CC"/>
      <w:u w:val="single"/>
    </w:rPr>
  </w:style>
  <w:style w:type="paragraph" w:styleId="T1">
    <w:name w:val="toc 1"/>
    <w:basedOn w:val="Normal"/>
    <w:next w:val="Normal"/>
    <w:autoRedefine/>
    <w:uiPriority w:val="39"/>
    <w:unhideWhenUsed/>
    <w:qFormat/>
    <w:rsid w:val="0088223F"/>
    <w:pPr>
      <w:tabs>
        <w:tab w:val="left" w:pos="0"/>
        <w:tab w:val="right" w:leader="dot" w:pos="8777"/>
      </w:tabs>
      <w:ind w:hanging="284"/>
      <w:jc w:val="left"/>
    </w:pPr>
    <w:rPr>
      <w:b/>
      <w:noProof/>
    </w:rPr>
  </w:style>
  <w:style w:type="paragraph" w:styleId="T2">
    <w:name w:val="toc 2"/>
    <w:basedOn w:val="Normal"/>
    <w:next w:val="Normal"/>
    <w:autoRedefine/>
    <w:uiPriority w:val="39"/>
    <w:unhideWhenUsed/>
    <w:qFormat/>
    <w:rsid w:val="0088223F"/>
    <w:pPr>
      <w:tabs>
        <w:tab w:val="left" w:pos="284"/>
        <w:tab w:val="left" w:pos="426"/>
        <w:tab w:val="left" w:pos="709"/>
        <w:tab w:val="right" w:leader="dot" w:pos="8777"/>
      </w:tabs>
      <w:ind w:left="397" w:hanging="397"/>
      <w:jc w:val="left"/>
    </w:pPr>
  </w:style>
  <w:style w:type="paragraph" w:styleId="TBal">
    <w:name w:val="TOC Heading"/>
    <w:basedOn w:val="Balk1"/>
    <w:next w:val="Normal"/>
    <w:uiPriority w:val="39"/>
    <w:unhideWhenUsed/>
    <w:qFormat/>
    <w:rsid w:val="0088223F"/>
    <w:pPr>
      <w:keepLines/>
      <w:spacing w:before="480" w:line="276" w:lineRule="auto"/>
      <w:outlineLvl w:val="9"/>
    </w:pPr>
    <w:rPr>
      <w:rFonts w:asciiTheme="majorHAnsi" w:eastAsiaTheme="majorEastAsia" w:hAnsiTheme="majorHAnsi" w:cstheme="majorBidi"/>
      <w:color w:val="365F91" w:themeColor="accent1" w:themeShade="BF"/>
      <w:kern w:val="0"/>
      <w:sz w:val="28"/>
      <w:szCs w:val="28"/>
      <w:lang w:eastAsia="tr-TR"/>
    </w:rPr>
  </w:style>
  <w:style w:type="paragraph" w:styleId="ResimYazs">
    <w:name w:val="caption"/>
    <w:basedOn w:val="Normal"/>
    <w:next w:val="Normal"/>
    <w:uiPriority w:val="35"/>
    <w:unhideWhenUsed/>
    <w:qFormat/>
    <w:rsid w:val="0088223F"/>
    <w:pPr>
      <w:spacing w:after="200" w:line="240" w:lineRule="auto"/>
    </w:pPr>
    <w:rPr>
      <w:i/>
      <w:iCs/>
      <w:color w:val="1F497D" w:themeColor="text2"/>
      <w:sz w:val="18"/>
      <w:szCs w:val="18"/>
    </w:rPr>
  </w:style>
  <w:style w:type="paragraph" w:styleId="AralkYok">
    <w:name w:val="No Spacing"/>
    <w:uiPriority w:val="1"/>
    <w:qFormat/>
    <w:rsid w:val="0088223F"/>
    <w:pPr>
      <w:spacing w:after="0" w:line="240" w:lineRule="auto"/>
      <w:ind w:firstLine="851"/>
      <w:jc w:val="both"/>
    </w:pPr>
    <w:rPr>
      <w:rFonts w:ascii="Times New Roman" w:eastAsia="Calibri" w:hAnsi="Times New Roman" w:cs="Times New Roman"/>
    </w:rPr>
  </w:style>
  <w:style w:type="paragraph" w:styleId="BalonMetni">
    <w:name w:val="Balloon Text"/>
    <w:basedOn w:val="Normal"/>
    <w:link w:val="BalonMetniChar"/>
    <w:uiPriority w:val="99"/>
    <w:semiHidden/>
    <w:unhideWhenUsed/>
    <w:rsid w:val="0088223F"/>
    <w:pPr>
      <w:spacing w:before="0"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88223F"/>
    <w:rPr>
      <w:rFonts w:ascii="Tahoma" w:eastAsia="Calibri" w:hAnsi="Tahoma" w:cs="Tahoma"/>
      <w:sz w:val="16"/>
      <w:szCs w:val="16"/>
    </w:rPr>
  </w:style>
  <w:style w:type="paragraph" w:styleId="ListeParagraf">
    <w:name w:val="List Paragraph"/>
    <w:basedOn w:val="Normal"/>
    <w:uiPriority w:val="34"/>
    <w:qFormat/>
    <w:rsid w:val="00EB0CCE"/>
    <w:pPr>
      <w:ind w:left="720"/>
      <w:contextualSpacing/>
    </w:pPr>
  </w:style>
  <w:style w:type="paragraph" w:customStyle="1" w:styleId="GrafikveTabloBal">
    <w:name w:val="Grafik ve Tablo Başlığı"/>
    <w:basedOn w:val="Normal"/>
    <w:link w:val="GrafikveTabloBalChar"/>
    <w:qFormat/>
    <w:rsid w:val="005758B1"/>
    <w:pPr>
      <w:spacing w:after="0" w:line="240" w:lineRule="auto"/>
      <w:jc w:val="center"/>
    </w:pPr>
    <w:rPr>
      <w:i/>
      <w:iCs/>
    </w:rPr>
  </w:style>
  <w:style w:type="character" w:customStyle="1" w:styleId="GrafikveTabloBalChar">
    <w:name w:val="Grafik ve Tablo Başlığı Char"/>
    <w:basedOn w:val="VarsaylanParagrafYazTipi"/>
    <w:link w:val="GrafikveTabloBal"/>
    <w:rsid w:val="005758B1"/>
    <w:rPr>
      <w:rFonts w:ascii="Times New Roman" w:eastAsia="Calibri" w:hAnsi="Times New Roman" w:cs="Times New Roman"/>
      <w:i/>
      <w:iCs/>
    </w:rPr>
  </w:style>
  <w:style w:type="paragraph" w:styleId="stBilgi">
    <w:name w:val="header"/>
    <w:basedOn w:val="Normal"/>
    <w:link w:val="stBilgiChar"/>
    <w:uiPriority w:val="99"/>
    <w:unhideWhenUsed/>
    <w:rsid w:val="005758B1"/>
    <w:pPr>
      <w:tabs>
        <w:tab w:val="center" w:pos="4536"/>
        <w:tab w:val="right" w:pos="9072"/>
      </w:tabs>
      <w:spacing w:before="0" w:after="0" w:line="240" w:lineRule="auto"/>
    </w:pPr>
  </w:style>
  <w:style w:type="character" w:customStyle="1" w:styleId="stBilgiChar">
    <w:name w:val="Üst Bilgi Char"/>
    <w:basedOn w:val="VarsaylanParagrafYazTipi"/>
    <w:link w:val="stBilgi"/>
    <w:uiPriority w:val="99"/>
    <w:rsid w:val="005758B1"/>
    <w:rPr>
      <w:rFonts w:ascii="Times New Roman" w:eastAsia="Calibri"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0607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2.png"/><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56BCEB-F3A3-41A8-880B-C0B5765640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182</TotalTime>
  <Pages>1</Pages>
  <Words>1684</Words>
  <Characters>9605</Characters>
  <Application>Microsoft Office Word</Application>
  <DocSecurity>0</DocSecurity>
  <Lines>80</Lines>
  <Paragraphs>22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11267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yusuf erdem tunç</cp:lastModifiedBy>
  <cp:revision>23</cp:revision>
  <dcterms:created xsi:type="dcterms:W3CDTF">2024-06-12T19:33:00Z</dcterms:created>
  <dcterms:modified xsi:type="dcterms:W3CDTF">2026-05-03T14:45:00Z</dcterms:modified>
</cp:coreProperties>
</file>