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D0C" w:rsidRDefault="006F5E5D">
      <w:pPr>
        <w:spacing w:after="40"/>
        <w:jc w:val="center"/>
      </w:pPr>
      <w:r>
        <w:rPr>
          <w:b/>
          <w:sz w:val="20"/>
          <w:lang w:val="tr-TR"/>
        </w:rPr>
        <w:t>T.C.</w:t>
      </w:r>
      <w:r>
        <w:rPr>
          <w:b/>
          <w:sz w:val="20"/>
          <w:lang w:val="tr-TR"/>
        </w:rPr>
        <w:br/>
        <w:t>KARADENİZ TEKNİK ÜNİVERSİTESİ REKTÖRLÜĞÜ</w:t>
      </w:r>
      <w:r>
        <w:rPr>
          <w:b/>
          <w:sz w:val="20"/>
          <w:lang w:val="tr-TR"/>
        </w:rPr>
        <w:br/>
        <w:t>İDARİ VE MALİ İŞLER DAİRE BAŞKANLIĞI</w:t>
      </w:r>
    </w:p>
    <w:p w:rsidR="00432D0C" w:rsidRDefault="006F5E5D">
      <w:pPr>
        <w:spacing w:after="140"/>
        <w:jc w:val="center"/>
      </w:pPr>
      <w:r>
        <w:rPr>
          <w:b/>
          <w:color w:val="0E2E4D"/>
          <w:sz w:val="24"/>
          <w:lang w:val="tr-TR"/>
        </w:rPr>
        <w:t>TAŞINMAZ KİRALAMA İHALE İLANI</w:t>
      </w:r>
    </w:p>
    <w:p w:rsidR="00432D0C" w:rsidRDefault="006F5E5D">
      <w:pPr>
        <w:pStyle w:val="Balk1"/>
      </w:pPr>
      <w:r>
        <w:rPr>
          <w:lang w:val="tr-TR"/>
        </w:rPr>
        <w:t>1. İDAREYE VE İHALEYE AİT BİLGİLER</w:t>
      </w:r>
    </w:p>
    <w:tbl>
      <w:tblPr>
        <w:tblW w:w="0" w:type="auto"/>
        <w:tblLayout w:type="fixed"/>
        <w:tblLook w:val="04A0" w:firstRow="1" w:lastRow="0" w:firstColumn="1" w:lastColumn="0" w:noHBand="0" w:noVBand="1"/>
      </w:tblPr>
      <w:tblGrid>
        <w:gridCol w:w="2324"/>
        <w:gridCol w:w="7710"/>
      </w:tblGrid>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İdare</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Karadeniz Teknik Üniversitesi Rektörlüğü İdari ve Mali İşler Daire Başkanlığı</w:t>
            </w:r>
          </w:p>
        </w:tc>
      </w:tr>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Adres</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 xml:space="preserve">KTÜ Rektörlüğü, </w:t>
            </w:r>
            <w:r>
              <w:rPr>
                <w:sz w:val="16"/>
              </w:rPr>
              <w:t>Kanuni Kampüsü, Üniversite Mahallesi, 61080 Ortahisar / TRABZON</w:t>
            </w:r>
          </w:p>
        </w:tc>
      </w:tr>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Telefon / Faks</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0462 377 21 04 / 0462 377 21 05</w:t>
            </w:r>
          </w:p>
        </w:tc>
      </w:tr>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E-posta</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idarimali@ktu.edu.tr</w:t>
            </w:r>
          </w:p>
        </w:tc>
      </w:tr>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İhale konusu</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KTÜ Araklı Ali Cevat Özyurt Meslek Yüksekokulu binasındaki kantin alanının kiralanması ve işletilmes</w:t>
            </w:r>
            <w:r>
              <w:rPr>
                <w:sz w:val="16"/>
              </w:rPr>
              <w:t>i</w:t>
            </w:r>
          </w:p>
        </w:tc>
      </w:tr>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Taşınmazın yeri</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Trabzon ili, Araklı ilçesi, KTÜ Araklı Ali Cevat Özyurt Meslek Yüksekokulu binası içi</w:t>
            </w:r>
          </w:p>
        </w:tc>
      </w:tr>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İhale usulü</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2886 sayılı Devlet İhale Kanunu’nun 45. maddesi uyarınca Açık Teklif Usulü</w:t>
            </w:r>
          </w:p>
        </w:tc>
      </w:tr>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İhale tarihi / saati</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06.11.2026 Cuma / 10.30</w:t>
            </w:r>
          </w:p>
        </w:tc>
      </w:tr>
      <w:tr w:rsidR="00432D0C">
        <w:trPr>
          <w:cantSplit/>
        </w:trPr>
        <w:tc>
          <w:tcPr>
            <w:tcW w:w="2324"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pPr>
            <w:r>
              <w:rPr>
                <w:b/>
                <w:sz w:val="16"/>
              </w:rPr>
              <w:t>İhale yeri</w:t>
            </w:r>
          </w:p>
        </w:tc>
        <w:tc>
          <w:tcPr>
            <w:tcW w:w="7710"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pPr>
            <w:r>
              <w:rPr>
                <w:sz w:val="16"/>
              </w:rPr>
              <w:t xml:space="preserve">KTÜ </w:t>
            </w:r>
            <w:r>
              <w:rPr>
                <w:sz w:val="16"/>
              </w:rPr>
              <w:t>Rektörlüğü Sağlık, Kültür ve Spor Daire Başkanlığı İhale Komisyonu Toplantı Salonu, Kanuni Kampüsü, Ortahisar / Trabzon</w:t>
            </w:r>
          </w:p>
        </w:tc>
      </w:tr>
    </w:tbl>
    <w:p w:rsidR="00432D0C" w:rsidRDefault="006F5E5D">
      <w:pPr>
        <w:pStyle w:val="Balk1"/>
      </w:pPr>
      <w:r>
        <w:rPr>
          <w:lang w:val="tr-TR"/>
        </w:rPr>
        <w:t>2. KİRAYA VERİLECEK TAŞINMAZ VE MALİ BİLGİLER</w:t>
      </w:r>
    </w:p>
    <w:tbl>
      <w:tblPr>
        <w:tblW w:w="0" w:type="auto"/>
        <w:tblLayout w:type="fixed"/>
        <w:tblLook w:val="04A0" w:firstRow="1" w:lastRow="0" w:firstColumn="1" w:lastColumn="0" w:noHBand="0" w:noVBand="1"/>
      </w:tblPr>
      <w:tblGrid>
        <w:gridCol w:w="709"/>
        <w:gridCol w:w="1276"/>
        <w:gridCol w:w="1559"/>
        <w:gridCol w:w="2353"/>
        <w:gridCol w:w="1928"/>
        <w:gridCol w:w="2211"/>
      </w:tblGrid>
      <w:tr w:rsidR="00432D0C">
        <w:trPr>
          <w:cantSplit/>
        </w:trPr>
        <w:tc>
          <w:tcPr>
            <w:tcW w:w="709"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jc w:val="center"/>
            </w:pPr>
            <w:r>
              <w:rPr>
                <w:b/>
                <w:sz w:val="15"/>
              </w:rPr>
              <w:t>Sıra</w:t>
            </w:r>
          </w:p>
        </w:tc>
        <w:tc>
          <w:tcPr>
            <w:tcW w:w="1276"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jc w:val="center"/>
            </w:pPr>
            <w:r>
              <w:rPr>
                <w:b/>
                <w:sz w:val="15"/>
              </w:rPr>
              <w:t>Kapalı alan</w:t>
            </w:r>
          </w:p>
        </w:tc>
        <w:tc>
          <w:tcPr>
            <w:tcW w:w="1559"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jc w:val="center"/>
            </w:pPr>
            <w:r>
              <w:rPr>
                <w:b/>
                <w:sz w:val="15"/>
              </w:rPr>
              <w:t>Kiralama süresi</w:t>
            </w:r>
          </w:p>
        </w:tc>
        <w:tc>
          <w:tcPr>
            <w:tcW w:w="2353"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jc w:val="center"/>
            </w:pPr>
            <w:r>
              <w:rPr>
                <w:b/>
                <w:sz w:val="15"/>
              </w:rPr>
              <w:t>İlk yıl muhammen kira</w:t>
            </w:r>
            <w:r>
              <w:rPr>
                <w:b/>
                <w:sz w:val="15"/>
              </w:rPr>
              <w:br/>
              <w:t>(KDV hariç)</w:t>
            </w:r>
          </w:p>
        </w:tc>
        <w:tc>
          <w:tcPr>
            <w:tcW w:w="1928"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jc w:val="center"/>
            </w:pPr>
            <w:r>
              <w:rPr>
                <w:b/>
                <w:sz w:val="15"/>
              </w:rPr>
              <w:t>Geçici teminat</w:t>
            </w:r>
            <w:r>
              <w:rPr>
                <w:b/>
                <w:sz w:val="15"/>
              </w:rPr>
              <w:br/>
              <w:t>(%3)</w:t>
            </w:r>
          </w:p>
        </w:tc>
        <w:tc>
          <w:tcPr>
            <w:tcW w:w="2211" w:type="dxa"/>
            <w:tcBorders>
              <w:top w:val="single" w:sz="5" w:space="0" w:color="BDC9D3"/>
              <w:left w:val="single" w:sz="5" w:space="0" w:color="BDC9D3"/>
              <w:bottom w:val="single" w:sz="5" w:space="0" w:color="BDC9D3"/>
              <w:right w:val="single" w:sz="5" w:space="0" w:color="BDC9D3"/>
            </w:tcBorders>
            <w:shd w:val="clear" w:color="auto" w:fill="EDF2F6"/>
            <w:vAlign w:val="center"/>
          </w:tcPr>
          <w:p w:rsidR="00432D0C" w:rsidRDefault="006F5E5D">
            <w:pPr>
              <w:spacing w:after="20" w:line="240" w:lineRule="auto"/>
              <w:jc w:val="center"/>
            </w:pPr>
            <w:r>
              <w:rPr>
                <w:b/>
                <w:sz w:val="15"/>
              </w:rPr>
              <w:t>Şa</w:t>
            </w:r>
            <w:r>
              <w:rPr>
                <w:b/>
                <w:sz w:val="15"/>
              </w:rPr>
              <w:t>rtname bedeli</w:t>
            </w:r>
          </w:p>
        </w:tc>
      </w:tr>
      <w:tr w:rsidR="00432D0C">
        <w:trPr>
          <w:cantSplit/>
        </w:trPr>
        <w:tc>
          <w:tcPr>
            <w:tcW w:w="709"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jc w:val="center"/>
            </w:pPr>
            <w:r>
              <w:rPr>
                <w:sz w:val="16"/>
              </w:rPr>
              <w:t>1</w:t>
            </w:r>
          </w:p>
        </w:tc>
        <w:tc>
          <w:tcPr>
            <w:tcW w:w="1276"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jc w:val="center"/>
            </w:pPr>
            <w:r>
              <w:rPr>
                <w:sz w:val="16"/>
              </w:rPr>
              <w:t>16,01 m²</w:t>
            </w:r>
          </w:p>
        </w:tc>
        <w:tc>
          <w:tcPr>
            <w:tcW w:w="1559"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jc w:val="center"/>
            </w:pPr>
            <w:r>
              <w:rPr>
                <w:sz w:val="16"/>
              </w:rPr>
              <w:t>3 yıl (36 ay)</w:t>
            </w:r>
          </w:p>
        </w:tc>
        <w:tc>
          <w:tcPr>
            <w:tcW w:w="2353"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jc w:val="center"/>
            </w:pPr>
            <w:r>
              <w:rPr>
                <w:sz w:val="16"/>
              </w:rPr>
              <w:t>95.000,00 TL</w:t>
            </w:r>
          </w:p>
        </w:tc>
        <w:tc>
          <w:tcPr>
            <w:tcW w:w="1928"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jc w:val="center"/>
            </w:pPr>
            <w:r>
              <w:rPr>
                <w:sz w:val="16"/>
              </w:rPr>
              <w:t>2.850,00 TL</w:t>
            </w:r>
          </w:p>
        </w:tc>
        <w:tc>
          <w:tcPr>
            <w:tcW w:w="2211" w:type="dxa"/>
            <w:tcBorders>
              <w:top w:val="single" w:sz="5" w:space="0" w:color="BDC9D3"/>
              <w:left w:val="single" w:sz="5" w:space="0" w:color="BDC9D3"/>
              <w:bottom w:val="single" w:sz="5" w:space="0" w:color="BDC9D3"/>
              <w:right w:val="single" w:sz="5" w:space="0" w:color="BDC9D3"/>
            </w:tcBorders>
            <w:vAlign w:val="center"/>
          </w:tcPr>
          <w:p w:rsidR="00432D0C" w:rsidRDefault="006F5E5D">
            <w:pPr>
              <w:spacing w:after="20" w:line="240" w:lineRule="auto"/>
              <w:jc w:val="center"/>
            </w:pPr>
            <w:r>
              <w:rPr>
                <w:sz w:val="16"/>
              </w:rPr>
              <w:t>1.000,00 TL</w:t>
            </w:r>
          </w:p>
        </w:tc>
      </w:tr>
    </w:tbl>
    <w:p w:rsidR="00432D0C" w:rsidRDefault="006F5E5D">
      <w:r>
        <w:rPr>
          <w:lang w:val="tr-TR"/>
        </w:rPr>
        <w:t>Kira süresi, sözleşme tarihinden değil, fiilî yer teslim tutanağının düzenlendiği tarihten itibaren başlar.</w:t>
      </w:r>
    </w:p>
    <w:p w:rsidR="00432D0C" w:rsidRDefault="006F5E5D" w:rsidP="00821C90">
      <w:pPr>
        <w:pStyle w:val="Balk1"/>
        <w:jc w:val="both"/>
      </w:pPr>
      <w:r>
        <w:rPr>
          <w:lang w:val="tr-TR"/>
        </w:rPr>
        <w:t>3. ŞARTNAMENİN GÖRÜLMESİ VE İHALEYE KATILIM</w:t>
      </w:r>
    </w:p>
    <w:p w:rsidR="00432D0C" w:rsidRDefault="006F5E5D" w:rsidP="00821C90">
      <w:pPr>
        <w:jc w:val="both"/>
      </w:pPr>
      <w:r>
        <w:rPr>
          <w:lang w:val="tr-TR"/>
        </w:rPr>
        <w:t>3.1. İhale dokümanı, mesai</w:t>
      </w:r>
      <w:r>
        <w:rPr>
          <w:lang w:val="tr-TR"/>
        </w:rPr>
        <w:t xml:space="preserve"> saatlerinde İdari ve Mali İşler Daire Başkanlığında bedelsiz incelenebilir. İhaleye katılacak isteklilerin 1.000,00 TL doküman bedelini KTÜ Strateji Geliştirme Daire Başkanlığının ilgili resmî hesabına yatırarak dokümanı satın almaları zorunludur.</w:t>
      </w:r>
    </w:p>
    <w:p w:rsidR="00432D0C" w:rsidRDefault="006F5E5D" w:rsidP="00821C90">
      <w:pPr>
        <w:jc w:val="both"/>
      </w:pPr>
      <w:r>
        <w:rPr>
          <w:lang w:val="tr-TR"/>
        </w:rPr>
        <w:t>3.2. İh</w:t>
      </w:r>
      <w:r>
        <w:rPr>
          <w:lang w:val="tr-TR"/>
        </w:rPr>
        <w:t>ale katılım belgeleri, 06.11.2026 günü saat 10.30’a kadar İdari ve Mali İşler Daire Başkanlığı evrak kayıt birimine, sıra numaralı alındı karşılığında teslim edilecektir. Postadaki gecikmeler kabul edilmeyecektir. Açık teklif usulüne ilişkin artırma ve tek</w:t>
      </w:r>
      <w:r>
        <w:rPr>
          <w:lang w:val="tr-TR"/>
        </w:rPr>
        <w:t>lif alma işlemleri komisyon huzurunda yürütülür.</w:t>
      </w:r>
    </w:p>
    <w:p w:rsidR="00432D0C" w:rsidRDefault="006F5E5D" w:rsidP="00821C90">
      <w:pPr>
        <w:jc w:val="both"/>
      </w:pPr>
      <w:r>
        <w:rPr>
          <w:lang w:val="tr-TR"/>
        </w:rPr>
        <w:t>3.3. İstekliler kiralanacak alanı yerinde görebilir; talep edilmesi hâlinde gerekli inceleme izni İdari ve Mali İşler Daire Başkanlığınca verilir.</w:t>
      </w:r>
    </w:p>
    <w:p w:rsidR="00432D0C" w:rsidRDefault="006F5E5D" w:rsidP="00821C90">
      <w:pPr>
        <w:pStyle w:val="Balk1"/>
        <w:jc w:val="both"/>
      </w:pPr>
      <w:r>
        <w:rPr>
          <w:lang w:val="tr-TR"/>
        </w:rPr>
        <w:t>4. İSTENEN KATILIM BELGELERİ VE YETERLİK ŞARTLARI</w:t>
      </w:r>
    </w:p>
    <w:p w:rsidR="00432D0C" w:rsidRDefault="006F5E5D" w:rsidP="00821C90">
      <w:pPr>
        <w:keepLines/>
        <w:jc w:val="both"/>
      </w:pPr>
      <w:r>
        <w:rPr>
          <w:b/>
          <w:lang w:val="tr-TR"/>
        </w:rPr>
        <w:t xml:space="preserve">4.1. </w:t>
      </w:r>
      <w:r>
        <w:rPr>
          <w:lang w:val="tr-TR"/>
        </w:rPr>
        <w:t>Türkiye’de tebligata elverişli adres beyanı, iletişim bilgileri ve gerçek kişiler bakımından T.C. kimlik numarasını gösterir kimlik fotokopisi.</w:t>
      </w:r>
    </w:p>
    <w:p w:rsidR="00432D0C" w:rsidRDefault="006F5E5D" w:rsidP="00821C90">
      <w:pPr>
        <w:keepLines/>
        <w:jc w:val="both"/>
      </w:pPr>
      <w:r>
        <w:rPr>
          <w:b/>
          <w:lang w:val="tr-TR"/>
        </w:rPr>
        <w:t xml:space="preserve">4.2. </w:t>
      </w:r>
      <w:r>
        <w:rPr>
          <w:lang w:val="tr-TR"/>
        </w:rPr>
        <w:t>Mevzuatı gereği kayıtlı olunan Ticaret ve/veya Sanayi Odası yahut ilgili Meslek Odasından ihale yılı içinde</w:t>
      </w:r>
      <w:r>
        <w:rPr>
          <w:lang w:val="tr-TR"/>
        </w:rPr>
        <w:t xml:space="preserve"> alınmış belge.</w:t>
      </w:r>
    </w:p>
    <w:p w:rsidR="00432D0C" w:rsidRDefault="006F5E5D" w:rsidP="00821C90">
      <w:pPr>
        <w:keepLines/>
        <w:jc w:val="both"/>
      </w:pPr>
      <w:r>
        <w:rPr>
          <w:b/>
          <w:lang w:val="tr-TR"/>
        </w:rPr>
        <w:t xml:space="preserve">4.3. </w:t>
      </w:r>
      <w:r>
        <w:rPr>
          <w:lang w:val="tr-TR"/>
        </w:rPr>
        <w:t>Gerçek kişiler için noter tasdikli imza beyannamesi; tüzel kişiler için teklifte bulunmaya yetkili kişiyi gösteren yetki belgesi ve noter tasdikli imza sirküleri.</w:t>
      </w:r>
    </w:p>
    <w:p w:rsidR="00432D0C" w:rsidRDefault="006F5E5D" w:rsidP="00821C90">
      <w:pPr>
        <w:keepLines/>
        <w:jc w:val="both"/>
      </w:pPr>
      <w:r>
        <w:rPr>
          <w:b/>
          <w:lang w:val="tr-TR"/>
        </w:rPr>
        <w:t xml:space="preserve">4.4. </w:t>
      </w:r>
      <w:r>
        <w:rPr>
          <w:lang w:val="tr-TR"/>
        </w:rPr>
        <w:t>Vekâleten katılınması hâlinde noter onaylı vekâletname ve vekilin n</w:t>
      </w:r>
      <w:r>
        <w:rPr>
          <w:lang w:val="tr-TR"/>
        </w:rPr>
        <w:t>oter onaylı imza beyannamesi.</w:t>
      </w:r>
    </w:p>
    <w:p w:rsidR="00432D0C" w:rsidRDefault="006F5E5D" w:rsidP="00821C90">
      <w:pPr>
        <w:keepLines/>
        <w:jc w:val="both"/>
      </w:pPr>
      <w:r>
        <w:rPr>
          <w:b/>
          <w:lang w:val="tr-TR"/>
        </w:rPr>
        <w:t xml:space="preserve">4.5. </w:t>
      </w:r>
      <w:r>
        <w:rPr>
          <w:lang w:val="tr-TR"/>
        </w:rPr>
        <w:t>Geçici teminatın yatırıldığını gösteren makbuz/dekont veya 2886 sayılı Kanuna uygun banka teminat mektubu; ayrıca 1.000,00 TL ihale doküman bedeli dekontu.</w:t>
      </w:r>
    </w:p>
    <w:p w:rsidR="00432D0C" w:rsidRDefault="006F5E5D" w:rsidP="00821C90">
      <w:pPr>
        <w:keepLines/>
        <w:jc w:val="both"/>
      </w:pPr>
      <w:r>
        <w:rPr>
          <w:b/>
          <w:lang w:val="tr-TR"/>
        </w:rPr>
        <w:t xml:space="preserve">4.6. </w:t>
      </w:r>
      <w:r>
        <w:rPr>
          <w:lang w:val="tr-TR"/>
        </w:rPr>
        <w:t>Adli sicil arşiv kaydı belgesi: gerçek kişiler için kendisin</w:t>
      </w:r>
      <w:r>
        <w:rPr>
          <w:lang w:val="tr-TR"/>
        </w:rPr>
        <w:t>e, tüzel kişiler için şirketin bütün ortaklarına ve şirket müdürüne ilişkin ayrı ayrı belgeler (şartname md. 8.7).</w:t>
      </w:r>
    </w:p>
    <w:p w:rsidR="00432D0C" w:rsidRDefault="006F5E5D" w:rsidP="00821C90">
      <w:pPr>
        <w:keepLines/>
        <w:jc w:val="both"/>
      </w:pPr>
      <w:r>
        <w:rPr>
          <w:b/>
          <w:lang w:val="tr-TR"/>
        </w:rPr>
        <w:t xml:space="preserve">4.7. </w:t>
      </w:r>
      <w:r>
        <w:rPr>
          <w:lang w:val="tr-TR"/>
        </w:rPr>
        <w:t>Mesleki yeterlik: kantin, kafeterya, pastane, restoran veya bakkal işletmeciliğine ilişkin ticari oda faaliyet belgesi; veya 3308 sayılı</w:t>
      </w:r>
      <w:r>
        <w:rPr>
          <w:lang w:val="tr-TR"/>
        </w:rPr>
        <w:t xml:space="preserve"> Kanuna göre ustalık/kalfalık belgesi; ya da bu işin en az 3 yıl başarıyla yapıldığını gösteren resmî iş/hizmet deneyim belgesi. Şirket olarak katılanlarda yeterlik belgesine sahip personelle yapılmış noter onaylı iş sözleşmesi de sunulur (şartname md. 8.9</w:t>
      </w:r>
      <w:r>
        <w:rPr>
          <w:lang w:val="tr-TR"/>
        </w:rPr>
        <w:t>).</w:t>
      </w:r>
    </w:p>
    <w:p w:rsidR="00432D0C" w:rsidRDefault="006F5E5D" w:rsidP="00821C90">
      <w:pPr>
        <w:keepLines/>
        <w:jc w:val="both"/>
      </w:pPr>
      <w:r>
        <w:rPr>
          <w:b/>
          <w:lang w:val="tr-TR"/>
        </w:rPr>
        <w:t xml:space="preserve">4.8. </w:t>
      </w:r>
      <w:r>
        <w:rPr>
          <w:lang w:val="tr-TR"/>
        </w:rPr>
        <w:t>2886 sayılı Kanun’un 6. maddesi ve diğer kanunlar uyarınca ihaleye katılması yasak olanlar ile ihale tarihinde geçerli yasaklama kararı bulunanlar ihaleye katılamaz. Geçmişteki sözleşme feshi veya teminatın gelir kaydı tek başına yasaklılık oluştur</w:t>
      </w:r>
      <w:r>
        <w:rPr>
          <w:lang w:val="tr-TR"/>
        </w:rPr>
        <w:t>maz (şartname md. 8.8).</w:t>
      </w:r>
    </w:p>
    <w:p w:rsidR="00432D0C" w:rsidRDefault="006F5E5D" w:rsidP="00821C90">
      <w:pPr>
        <w:pStyle w:val="Balk1"/>
        <w:pageBreakBefore/>
        <w:jc w:val="both"/>
      </w:pPr>
      <w:r>
        <w:rPr>
          <w:lang w:val="tr-TR"/>
        </w:rPr>
        <w:lastRenderedPageBreak/>
        <w:t>5. SÖZLEŞME ÖNCESİ BELGELER, TEMİNATLAR VE KİRA KOŞULLARI</w:t>
      </w:r>
    </w:p>
    <w:p w:rsidR="00432D0C" w:rsidRDefault="006F5E5D" w:rsidP="00821C90">
      <w:pPr>
        <w:jc w:val="both"/>
      </w:pPr>
      <w:r>
        <w:rPr>
          <w:lang w:val="tr-TR"/>
        </w:rPr>
        <w:t>5.1. Vergi dairesi ve Sosyal Güvenlik Kurumuna vadesi geçmiş borç bulunmadığına ilişkin belgeler, şartnamenin 8.6. maddesi gereği sözleşmenin imzalanmasından önce ibraz edile</w:t>
      </w:r>
      <w:r>
        <w:rPr>
          <w:lang w:val="tr-TR"/>
        </w:rPr>
        <w:t>cektir; ihale katılım dosyasında aranmaz.</w:t>
      </w:r>
    </w:p>
    <w:p w:rsidR="00432D0C" w:rsidRDefault="006F5E5D" w:rsidP="00821C90">
      <w:pPr>
        <w:jc w:val="both"/>
      </w:pPr>
      <w:r>
        <w:rPr>
          <w:lang w:val="tr-TR"/>
        </w:rPr>
        <w:t>5.2. Geçici teminat 2.850,00 TL olup ihale saatinden önce KTÜ Strateji Geliştirme Daire Başkanlığı resmî hesabına yatırılır veya usulüne uygun banka teminat mektubu sunulur. Şartnamede belirtilen hesap: TR84 0001 0</w:t>
      </w:r>
      <w:r>
        <w:rPr>
          <w:lang w:val="tr-TR"/>
        </w:rPr>
        <w:t>012 2511 8251 4350 01. İhale üzerinde kalan istekli, kesinleşen ilk yıl yıllık kira bedelinin %6’sı tutarındaki kesin teminatı sözleşmeden önce verir.</w:t>
      </w:r>
    </w:p>
    <w:p w:rsidR="00432D0C" w:rsidRDefault="006F5E5D" w:rsidP="00821C90">
      <w:pPr>
        <w:jc w:val="both"/>
      </w:pPr>
      <w:r>
        <w:rPr>
          <w:lang w:val="tr-TR"/>
        </w:rPr>
        <w:t xml:space="preserve">5.3. İlk yıl kira bedeli, ihalede oluşan yıllık kira bedelidir. Kiracı bedeli peşin ödeyebilir; taksitli </w:t>
      </w:r>
      <w:r>
        <w:rPr>
          <w:lang w:val="tr-TR"/>
        </w:rPr>
        <w:t>ödemede ilk yıl bedelinin 1/4’ü sözleşmeden önce, kalanı kira döneminin 4., 7. ve 10. aylarının başında üç eşit taksitte ödenir. Sonraki yıllarda 1., 4., 7. ve 10. ayların başında dört eşit taksit uygulanır. İkinci ve üçüncü yıl kira bedelleri, şartnamedek</w:t>
      </w:r>
      <w:r>
        <w:rPr>
          <w:lang w:val="tr-TR"/>
        </w:rPr>
        <w:t>i TÜFE on iki aylık ortalama değişim esasına göre belirlenir.</w:t>
      </w:r>
    </w:p>
    <w:p w:rsidR="00432D0C" w:rsidRDefault="006F5E5D" w:rsidP="00821C90">
      <w:pPr>
        <w:jc w:val="both"/>
      </w:pPr>
      <w:r>
        <w:rPr>
          <w:lang w:val="tr-TR"/>
        </w:rPr>
        <w:t>5.4. KDV, damga vergisi, harç ve zorunlu giderler; yürürlükteki mevzuatta öngörülen yükümlülük ve sorumluluk hükümleri saklı tutularak karşılanır. Ruhsat, gıda işletmesi kayıt ve hijyen yükümlül</w:t>
      </w:r>
      <w:r>
        <w:rPr>
          <w:lang w:val="tr-TR"/>
        </w:rPr>
        <w:t>ükleri ihale şartnamesinde düzenlenmiştir.</w:t>
      </w:r>
    </w:p>
    <w:p w:rsidR="00432D0C" w:rsidRDefault="006F5E5D" w:rsidP="00821C90">
      <w:pPr>
        <w:jc w:val="both"/>
      </w:pPr>
      <w:r>
        <w:rPr>
          <w:lang w:val="tr-TR"/>
        </w:rPr>
        <w:t>5.5. İdarenin fesih ve yaptırım yetkileri şartnamenin 14, 18, 20 ve 35–37. maddelerine tabidir. %3 ve %25 sözleşmesel cezai şart hükümleri, ancak hukuken uygulanabilir koşullar oluştuğunda ve aynı fiil için mükerr</w:t>
      </w:r>
      <w:r>
        <w:rPr>
          <w:lang w:val="tr-TR"/>
        </w:rPr>
        <w:t>er tahsilata yol açmayacak şekilde uygulanabilir; kira veya yan giderin yalnızca geç ödenmesi otomatik fesih veya %25 cezai şart nedeni değildir.</w:t>
      </w:r>
    </w:p>
    <w:p w:rsidR="00432D0C" w:rsidRDefault="006F5E5D" w:rsidP="00821C90">
      <w:pPr>
        <w:pStyle w:val="Balk1"/>
        <w:jc w:val="both"/>
      </w:pPr>
      <w:r>
        <w:rPr>
          <w:lang w:val="tr-TR"/>
        </w:rPr>
        <w:t>6. DİĞER HUSUSLAR</w:t>
      </w:r>
    </w:p>
    <w:p w:rsidR="00432D0C" w:rsidRDefault="006F5E5D" w:rsidP="00821C90">
      <w:pPr>
        <w:jc w:val="both"/>
      </w:pPr>
      <w:r>
        <w:rPr>
          <w:lang w:val="tr-TR"/>
        </w:rPr>
        <w:t>İhale Komisyonu, 2886 sayılı Kanun’un 29. maddesi uyarınca gerekçesini kararda belirtmek koş</w:t>
      </w:r>
      <w:r>
        <w:rPr>
          <w:lang w:val="tr-TR"/>
        </w:rPr>
        <w:t>uluyla ihaleyi yapıp yapmamakta serbesttir. İhaleye katılanlar, onaylı idari ve teknik şartname ile kira sözleşmesi taslağındaki esasları kabul etmiş sayılır.</w:t>
      </w:r>
    </w:p>
    <w:p w:rsidR="00432D0C" w:rsidRDefault="00432D0C">
      <w:pPr>
        <w:jc w:val="right"/>
      </w:pPr>
      <w:bookmarkStart w:id="0" w:name="_GoBack"/>
      <w:bookmarkEnd w:id="0"/>
    </w:p>
    <w:sectPr w:rsidR="00432D0C" w:rsidSect="00034616">
      <w:footerReference w:type="default" r:id="rId8"/>
      <w:pgSz w:w="11906" w:h="16838"/>
      <w:pgMar w:top="850" w:right="935" w:bottom="822" w:left="935" w:header="454" w:footer="42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E5D" w:rsidRDefault="006F5E5D">
      <w:pPr>
        <w:spacing w:after="0" w:line="240" w:lineRule="auto"/>
      </w:pPr>
      <w:r>
        <w:separator/>
      </w:r>
    </w:p>
  </w:endnote>
  <w:endnote w:type="continuationSeparator" w:id="0">
    <w:p w:rsidR="006F5E5D" w:rsidRDefault="006F5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D0C" w:rsidRDefault="006F5E5D">
    <w:pPr>
      <w:pStyle w:val="AltBilgi"/>
      <w:jc w:val="center"/>
    </w:pPr>
    <w:r>
      <w:rPr>
        <w:color w:val="78848E"/>
        <w:sz w:val="14"/>
      </w:rPr>
      <w:t xml:space="preserve">KTÜ İdari ve </w:t>
    </w:r>
    <w:r>
      <w:rPr>
        <w:color w:val="78848E"/>
        <w:sz w:val="14"/>
      </w:rPr>
      <w:t>Mali İşler Daire Başkanlığı  |  2886 sayılı Kanun m. 45 açık teklif usulü</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E5D" w:rsidRDefault="006F5E5D">
      <w:pPr>
        <w:spacing w:after="0" w:line="240" w:lineRule="auto"/>
      </w:pPr>
      <w:r>
        <w:separator/>
      </w:r>
    </w:p>
  </w:footnote>
  <w:footnote w:type="continuationSeparator" w:id="0">
    <w:p w:rsidR="006F5E5D" w:rsidRDefault="006F5E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32D0C"/>
    <w:rsid w:val="006F5E5D"/>
    <w:rsid w:val="00821C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69A870"/>
  <w14:defaultImageDpi w14:val="300"/>
  <w15:docId w15:val="{599609F1-2C6B-4309-B003-39CF9752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9" w:lineRule="auto"/>
    </w:pPr>
    <w:rPr>
      <w:rFonts w:ascii="Arial" w:hAnsi="Arial"/>
      <w:color w:val="192330"/>
      <w:sz w:val="18"/>
    </w:rPr>
  </w:style>
  <w:style w:type="paragraph" w:styleId="Balk1">
    <w:name w:val="heading 1"/>
    <w:basedOn w:val="Normal"/>
    <w:next w:val="Normal"/>
    <w:link w:val="Balk1Char"/>
    <w:uiPriority w:val="9"/>
    <w:qFormat/>
    <w:rsid w:val="00FC693F"/>
    <w:pPr>
      <w:keepNext/>
      <w:keepLines/>
      <w:spacing w:before="180"/>
      <w:outlineLvl w:val="0"/>
    </w:pPr>
    <w:rPr>
      <w:rFonts w:asciiTheme="majorHAnsi" w:eastAsiaTheme="majorEastAsia" w:hAnsiTheme="majorHAnsi" w:cstheme="majorBidi"/>
      <w:b/>
      <w:bCs/>
      <w:color w:val="0E2E4D"/>
      <w:sz w:val="20"/>
      <w:szCs w:val="28"/>
    </w:rPr>
  </w:style>
  <w:style w:type="paragraph" w:styleId="Balk2">
    <w:name w:val="heading 2"/>
    <w:basedOn w:val="Normal"/>
    <w:next w:val="Normal"/>
    <w:link w:val="Balk2Char"/>
    <w:uiPriority w:val="9"/>
    <w:unhideWhenUsed/>
    <w:qFormat/>
    <w:rsid w:val="00FC693F"/>
    <w:pPr>
      <w:keepNext/>
      <w:keepLines/>
      <w:spacing w:before="180"/>
      <w:outlineLvl w:val="1"/>
    </w:pPr>
    <w:rPr>
      <w:rFonts w:asciiTheme="majorHAnsi" w:eastAsiaTheme="majorEastAsia" w:hAnsiTheme="majorHAnsi" w:cstheme="majorBidi"/>
      <w:b/>
      <w:bCs/>
      <w:color w:val="0E2E4D"/>
      <w:sz w:val="19"/>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90EBD-9022-4E6B-802E-C1B773CA5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3</cp:revision>
  <dcterms:created xsi:type="dcterms:W3CDTF">2013-12-23T23:15:00Z</dcterms:created>
  <dcterms:modified xsi:type="dcterms:W3CDTF">2026-10-26T07:04:00Z</dcterms:modified>
  <cp:category/>
</cp:coreProperties>
</file>